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ECB3A18" w14:textId="77777777" w:rsidR="0014740A" w:rsidRDefault="0014740A" w:rsidP="0014740A">
      <w:pPr>
        <w:spacing w:line="0" w:lineRule="atLeast"/>
        <w:jc w:val="center"/>
        <w:rPr>
          <w:rFonts w:ascii="Times New Roman" w:eastAsia="Times New Roman" w:hAnsi="Times New Roman" w:cs="Times New Roman"/>
          <w:sz w:val="24"/>
          <w:szCs w:val="24"/>
        </w:rPr>
      </w:pPr>
      <w:bookmarkStart w:id="0" w:name="page2"/>
      <w:bookmarkEnd w:id="0"/>
      <w:r>
        <w:rPr>
          <w:rFonts w:ascii="Times New Roman" w:eastAsia="Times New Roman" w:hAnsi="Times New Roman" w:cs="Times New Roman"/>
          <w:sz w:val="24"/>
          <w:szCs w:val="24"/>
        </w:rPr>
        <w:t xml:space="preserve">                    </w:t>
      </w:r>
      <w:r w:rsidR="00A5543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4F78B8" w:rsidRPr="0014740A">
        <w:rPr>
          <w:rFonts w:ascii="Times New Roman" w:eastAsia="Times New Roman" w:hAnsi="Times New Roman" w:cs="Times New Roman"/>
          <w:sz w:val="24"/>
          <w:szCs w:val="24"/>
        </w:rPr>
        <w:t>Załącznik</w:t>
      </w:r>
    </w:p>
    <w:p w14:paraId="458067DC" w14:textId="4F162076" w:rsidR="004F78B8" w:rsidRPr="0014740A" w:rsidRDefault="0014740A" w:rsidP="0014740A">
      <w:pPr>
        <w:spacing w:line="0" w:lineRule="atLeast"/>
        <w:jc w:val="center"/>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A17E0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4F78B8" w:rsidRPr="0014740A">
        <w:rPr>
          <w:rFonts w:ascii="Times New Roman" w:eastAsia="Times New Roman" w:hAnsi="Times New Roman" w:cs="Times New Roman"/>
          <w:sz w:val="24"/>
          <w:szCs w:val="24"/>
        </w:rPr>
        <w:t>do Zarządzenia Nr</w:t>
      </w:r>
      <w:r w:rsidR="00A17E0E">
        <w:rPr>
          <w:rFonts w:ascii="Times New Roman" w:eastAsia="Times New Roman" w:hAnsi="Times New Roman" w:cs="Times New Roman"/>
          <w:sz w:val="24"/>
          <w:szCs w:val="24"/>
        </w:rPr>
        <w:t xml:space="preserve"> 47/2020</w:t>
      </w:r>
    </w:p>
    <w:p w14:paraId="6A1D4527" w14:textId="77777777" w:rsidR="004F78B8" w:rsidRPr="0014740A" w:rsidRDefault="0014740A" w:rsidP="0014740A">
      <w:pPr>
        <w:spacing w:line="232" w:lineRule="auto"/>
        <w:jc w:val="center"/>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4F78B8" w:rsidRPr="0014740A">
        <w:rPr>
          <w:rFonts w:ascii="Times New Roman" w:eastAsia="Times New Roman" w:hAnsi="Times New Roman" w:cs="Times New Roman"/>
          <w:sz w:val="24"/>
          <w:szCs w:val="24"/>
        </w:rPr>
        <w:t>Dyrektora MOPS w Sopocie</w:t>
      </w:r>
    </w:p>
    <w:p w14:paraId="7FF2C806" w14:textId="77777777" w:rsidR="004F78B8" w:rsidRPr="0014740A" w:rsidRDefault="004F78B8">
      <w:pPr>
        <w:spacing w:line="1" w:lineRule="exact"/>
        <w:rPr>
          <w:rFonts w:ascii="Times New Roman" w:eastAsia="Times New Roman" w:hAnsi="Times New Roman" w:cs="Times New Roman"/>
          <w:sz w:val="24"/>
          <w:szCs w:val="24"/>
        </w:rPr>
      </w:pPr>
    </w:p>
    <w:p w14:paraId="1FF08CBC" w14:textId="052885DB" w:rsidR="004F78B8" w:rsidRPr="0014740A" w:rsidRDefault="0014740A" w:rsidP="0014740A">
      <w:pPr>
        <w:spacing w:line="0" w:lineRule="atLeast"/>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4F78B8" w:rsidRPr="0014740A">
        <w:rPr>
          <w:rFonts w:ascii="Times New Roman" w:eastAsia="Times New Roman" w:hAnsi="Times New Roman" w:cs="Times New Roman"/>
          <w:sz w:val="24"/>
          <w:szCs w:val="24"/>
        </w:rPr>
        <w:t>z dnia</w:t>
      </w:r>
      <w:r>
        <w:rPr>
          <w:rFonts w:ascii="Times New Roman" w:eastAsia="Times New Roman" w:hAnsi="Times New Roman" w:cs="Times New Roman"/>
          <w:sz w:val="24"/>
          <w:szCs w:val="24"/>
        </w:rPr>
        <w:t xml:space="preserve">  </w:t>
      </w:r>
      <w:r w:rsidR="00A17E0E">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grudnia 2020 r.</w:t>
      </w:r>
    </w:p>
    <w:p w14:paraId="6A53DA31" w14:textId="77777777" w:rsidR="00817733" w:rsidRDefault="00817733" w:rsidP="003F7A0C">
      <w:pPr>
        <w:spacing w:line="360" w:lineRule="auto"/>
        <w:rPr>
          <w:rFonts w:ascii="Times New Roman" w:eastAsia="Times New Roman" w:hAnsi="Times New Roman" w:cs="Times New Roman"/>
          <w:b/>
          <w:sz w:val="24"/>
          <w:szCs w:val="24"/>
        </w:rPr>
      </w:pPr>
    </w:p>
    <w:p w14:paraId="2DE67819" w14:textId="77777777" w:rsidR="0014740A" w:rsidRDefault="0014740A" w:rsidP="0014740A">
      <w:pPr>
        <w:spacing w:line="360" w:lineRule="auto"/>
        <w:jc w:val="center"/>
        <w:rPr>
          <w:rFonts w:ascii="Times New Roman" w:eastAsia="Times New Roman" w:hAnsi="Times New Roman" w:cs="Times New Roman"/>
          <w:b/>
          <w:sz w:val="24"/>
          <w:szCs w:val="24"/>
        </w:rPr>
      </w:pPr>
      <w:r w:rsidRPr="0014740A">
        <w:rPr>
          <w:rFonts w:ascii="Times New Roman" w:eastAsia="Times New Roman" w:hAnsi="Times New Roman" w:cs="Times New Roman"/>
          <w:b/>
          <w:sz w:val="24"/>
          <w:szCs w:val="24"/>
        </w:rPr>
        <w:t>PROCEDURA DOCHODZENIA NALEŻNOŚCI</w:t>
      </w:r>
    </w:p>
    <w:p w14:paraId="7D9A18F1" w14:textId="77777777" w:rsidR="004F78B8" w:rsidRPr="00817733" w:rsidRDefault="0014740A" w:rsidP="00817733">
      <w:pPr>
        <w:spacing w:line="360" w:lineRule="auto"/>
        <w:jc w:val="center"/>
        <w:rPr>
          <w:rFonts w:ascii="Times New Roman" w:hAnsi="Times New Roman" w:cs="Times New Roman"/>
          <w:sz w:val="24"/>
          <w:szCs w:val="24"/>
        </w:rPr>
      </w:pPr>
      <w:r w:rsidRPr="0014740A">
        <w:rPr>
          <w:rFonts w:ascii="Times New Roman" w:eastAsia="Times New Roman" w:hAnsi="Times New Roman" w:cs="Times New Roman"/>
          <w:b/>
          <w:sz w:val="24"/>
          <w:szCs w:val="24"/>
        </w:rPr>
        <w:t>PRZEZ MI</w:t>
      </w:r>
      <w:r>
        <w:rPr>
          <w:rFonts w:ascii="Times New Roman" w:eastAsia="Times New Roman" w:hAnsi="Times New Roman" w:cs="Times New Roman"/>
          <w:b/>
          <w:sz w:val="24"/>
          <w:szCs w:val="24"/>
        </w:rPr>
        <w:t xml:space="preserve">EJSKI OŚRODEK POMOCY SPOŁECZNEJ </w:t>
      </w:r>
      <w:r w:rsidRPr="0014740A">
        <w:rPr>
          <w:rFonts w:ascii="Times New Roman" w:eastAsia="Times New Roman" w:hAnsi="Times New Roman" w:cs="Times New Roman"/>
          <w:b/>
          <w:sz w:val="24"/>
          <w:szCs w:val="24"/>
        </w:rPr>
        <w:t>W SOPOCIE</w:t>
      </w:r>
    </w:p>
    <w:p w14:paraId="1BBBC8CB" w14:textId="77777777" w:rsidR="00817733" w:rsidRDefault="00817733">
      <w:pPr>
        <w:spacing w:line="0" w:lineRule="atLeast"/>
        <w:ind w:left="4381"/>
        <w:jc w:val="both"/>
        <w:rPr>
          <w:rFonts w:ascii="Times New Roman" w:eastAsia="Times New Roman" w:hAnsi="Times New Roman" w:cs="Times New Roman"/>
          <w:sz w:val="24"/>
        </w:rPr>
      </w:pPr>
    </w:p>
    <w:p w14:paraId="0E12D550" w14:textId="77777777" w:rsidR="004F78B8" w:rsidRPr="00AA0EA1" w:rsidRDefault="004F78B8">
      <w:pPr>
        <w:spacing w:line="0" w:lineRule="atLeast"/>
        <w:ind w:left="4381"/>
        <w:jc w:val="both"/>
        <w:rPr>
          <w:rFonts w:ascii="Times New Roman" w:hAnsi="Times New Roman" w:cs="Times New Roman"/>
        </w:rPr>
      </w:pPr>
      <w:r w:rsidRPr="00AA0EA1">
        <w:rPr>
          <w:rFonts w:ascii="Times New Roman" w:eastAsia="Times New Roman" w:hAnsi="Times New Roman" w:cs="Times New Roman"/>
          <w:sz w:val="24"/>
        </w:rPr>
        <w:t>§ 1</w:t>
      </w:r>
      <w:r w:rsidR="00AA0EA1">
        <w:rPr>
          <w:rFonts w:ascii="Times New Roman" w:eastAsia="Times New Roman" w:hAnsi="Times New Roman" w:cs="Times New Roman"/>
          <w:sz w:val="24"/>
        </w:rPr>
        <w:t>.</w:t>
      </w:r>
    </w:p>
    <w:p w14:paraId="038E0F12" w14:textId="77777777" w:rsidR="004F78B8" w:rsidRPr="003F7A0C" w:rsidRDefault="004F78B8" w:rsidP="0014740A">
      <w:pPr>
        <w:spacing w:line="360" w:lineRule="auto"/>
        <w:jc w:val="both"/>
        <w:rPr>
          <w:rFonts w:ascii="Times New Roman" w:eastAsia="Times New Roman" w:hAnsi="Times New Roman" w:cs="Times New Roman"/>
          <w:b/>
          <w:color w:val="FF0000"/>
          <w:sz w:val="16"/>
          <w:szCs w:val="16"/>
        </w:rPr>
      </w:pPr>
    </w:p>
    <w:p w14:paraId="7BE4D112" w14:textId="77777777" w:rsidR="004F78B8" w:rsidRPr="0014740A" w:rsidRDefault="004F78B8" w:rsidP="0014740A">
      <w:pPr>
        <w:spacing w:line="360" w:lineRule="auto"/>
        <w:jc w:val="both"/>
        <w:rPr>
          <w:rFonts w:ascii="Times New Roman" w:hAnsi="Times New Roman" w:cs="Times New Roman"/>
        </w:rPr>
      </w:pPr>
      <w:r w:rsidRPr="00C17343">
        <w:rPr>
          <w:rFonts w:ascii="Times New Roman" w:eastAsia="Times New Roman" w:hAnsi="Times New Roman" w:cs="Times New Roman"/>
          <w:sz w:val="24"/>
        </w:rPr>
        <w:t>Ilekroć w niniejszych procedurach jest mowa o:</w:t>
      </w:r>
    </w:p>
    <w:p w14:paraId="14358DD6" w14:textId="77777777" w:rsidR="004F78B8" w:rsidRPr="00AA0EA1" w:rsidRDefault="004F78B8" w:rsidP="007002AF">
      <w:pPr>
        <w:numPr>
          <w:ilvl w:val="0"/>
          <w:numId w:val="18"/>
        </w:numPr>
        <w:tabs>
          <w:tab w:val="left" w:pos="421"/>
        </w:tabs>
        <w:spacing w:line="360" w:lineRule="auto"/>
        <w:ind w:left="697" w:hanging="357"/>
        <w:jc w:val="both"/>
        <w:rPr>
          <w:rFonts w:ascii="Times New Roman" w:hAnsi="Times New Roman" w:cs="Times New Roman"/>
          <w:sz w:val="24"/>
          <w:szCs w:val="24"/>
        </w:rPr>
      </w:pPr>
      <w:r w:rsidRPr="00AA0EA1">
        <w:rPr>
          <w:rFonts w:ascii="Times New Roman" w:eastAsia="Times New Roman" w:hAnsi="Times New Roman" w:cs="Times New Roman"/>
          <w:sz w:val="24"/>
          <w:szCs w:val="24"/>
        </w:rPr>
        <w:t xml:space="preserve">należnościach – należy przez to rozumieć należności z tytułu wydatków na świadczenia   z tytułu opłat oraz z tytułu </w:t>
      </w:r>
      <w:r w:rsidR="00AA0EA1">
        <w:rPr>
          <w:rFonts w:ascii="Times New Roman" w:eastAsia="Times New Roman" w:hAnsi="Times New Roman" w:cs="Times New Roman"/>
          <w:sz w:val="24"/>
          <w:szCs w:val="24"/>
        </w:rPr>
        <w:t>nienależnie pobranych świadczeń;</w:t>
      </w:r>
    </w:p>
    <w:p w14:paraId="658F0C9A" w14:textId="77777777" w:rsidR="004F78B8" w:rsidRPr="00AA0EA1" w:rsidRDefault="004F78B8" w:rsidP="007002AF">
      <w:pPr>
        <w:numPr>
          <w:ilvl w:val="0"/>
          <w:numId w:val="18"/>
        </w:numPr>
        <w:tabs>
          <w:tab w:val="left" w:pos="421"/>
        </w:tabs>
        <w:spacing w:line="360" w:lineRule="auto"/>
        <w:ind w:left="697" w:hanging="357"/>
        <w:jc w:val="both"/>
        <w:rPr>
          <w:rFonts w:ascii="Times New Roman" w:hAnsi="Times New Roman" w:cs="Times New Roman"/>
          <w:sz w:val="24"/>
          <w:szCs w:val="24"/>
        </w:rPr>
      </w:pPr>
      <w:r w:rsidRPr="00AA0EA1">
        <w:rPr>
          <w:rFonts w:ascii="Times New Roman" w:eastAsia="Times New Roman" w:hAnsi="Times New Roman" w:cs="Times New Roman"/>
          <w:sz w:val="24"/>
          <w:szCs w:val="24"/>
        </w:rPr>
        <w:t>zobowiązanym – należy przez to rozumieć osobę zobow</w:t>
      </w:r>
      <w:r w:rsidR="00AA0EA1">
        <w:rPr>
          <w:rFonts w:ascii="Times New Roman" w:eastAsia="Times New Roman" w:hAnsi="Times New Roman" w:cs="Times New Roman"/>
          <w:sz w:val="24"/>
          <w:szCs w:val="24"/>
        </w:rPr>
        <w:t>iązaną do zwrotu należności;</w:t>
      </w:r>
    </w:p>
    <w:p w14:paraId="3BE36330" w14:textId="77777777" w:rsidR="004F78B8" w:rsidRPr="00AA0EA1" w:rsidRDefault="004F78B8" w:rsidP="007002AF">
      <w:pPr>
        <w:numPr>
          <w:ilvl w:val="0"/>
          <w:numId w:val="18"/>
        </w:numPr>
        <w:tabs>
          <w:tab w:val="left" w:pos="421"/>
        </w:tabs>
        <w:spacing w:line="360" w:lineRule="auto"/>
        <w:ind w:left="697" w:hanging="357"/>
        <w:jc w:val="both"/>
        <w:rPr>
          <w:rFonts w:ascii="Times New Roman" w:hAnsi="Times New Roman" w:cs="Times New Roman"/>
          <w:sz w:val="24"/>
          <w:szCs w:val="24"/>
        </w:rPr>
      </w:pPr>
      <w:r w:rsidRPr="00AA0EA1">
        <w:rPr>
          <w:rFonts w:ascii="Times New Roman" w:eastAsia="Times New Roman" w:hAnsi="Times New Roman" w:cs="Times New Roman"/>
          <w:sz w:val="24"/>
          <w:szCs w:val="24"/>
        </w:rPr>
        <w:t>wierzycielu – należy przez</w:t>
      </w:r>
      <w:r w:rsidR="00AA0EA1">
        <w:rPr>
          <w:rFonts w:ascii="Times New Roman" w:eastAsia="Times New Roman" w:hAnsi="Times New Roman" w:cs="Times New Roman"/>
          <w:sz w:val="24"/>
          <w:szCs w:val="24"/>
        </w:rPr>
        <w:t xml:space="preserve"> to rozumieć Gminę Miasta Sopot;</w:t>
      </w:r>
    </w:p>
    <w:p w14:paraId="1D60E9DA" w14:textId="77777777" w:rsidR="004F78B8" w:rsidRPr="00AA0EA1" w:rsidRDefault="004F78B8" w:rsidP="007002AF">
      <w:pPr>
        <w:numPr>
          <w:ilvl w:val="0"/>
          <w:numId w:val="18"/>
        </w:numPr>
        <w:tabs>
          <w:tab w:val="left" w:pos="421"/>
        </w:tabs>
        <w:spacing w:line="360" w:lineRule="auto"/>
        <w:ind w:left="697" w:hanging="357"/>
        <w:jc w:val="both"/>
        <w:rPr>
          <w:rFonts w:ascii="Times New Roman" w:hAnsi="Times New Roman" w:cs="Times New Roman"/>
          <w:sz w:val="24"/>
          <w:szCs w:val="24"/>
        </w:rPr>
      </w:pPr>
      <w:r w:rsidRPr="00AA0EA1">
        <w:rPr>
          <w:rFonts w:ascii="Times New Roman" w:eastAsia="Times New Roman" w:hAnsi="Times New Roman" w:cs="Times New Roman"/>
          <w:sz w:val="24"/>
          <w:szCs w:val="24"/>
        </w:rPr>
        <w:t>MOPS – należy przez to rozumieć Miejski Ośro</w:t>
      </w:r>
      <w:r w:rsidR="00AA0EA1">
        <w:rPr>
          <w:rFonts w:ascii="Times New Roman" w:eastAsia="Times New Roman" w:hAnsi="Times New Roman" w:cs="Times New Roman"/>
          <w:sz w:val="24"/>
          <w:szCs w:val="24"/>
        </w:rPr>
        <w:t>dek Pomocy Społecznej w Sopocie;</w:t>
      </w:r>
    </w:p>
    <w:p w14:paraId="29F819A0" w14:textId="77777777" w:rsidR="004F78B8" w:rsidRPr="00A97B9D" w:rsidRDefault="004F78B8" w:rsidP="007002AF">
      <w:pPr>
        <w:numPr>
          <w:ilvl w:val="0"/>
          <w:numId w:val="18"/>
        </w:numPr>
        <w:tabs>
          <w:tab w:val="left" w:pos="421"/>
        </w:tabs>
        <w:spacing w:line="360" w:lineRule="auto"/>
        <w:ind w:left="697" w:hanging="357"/>
        <w:jc w:val="both"/>
        <w:rPr>
          <w:rFonts w:ascii="Times New Roman" w:hAnsi="Times New Roman" w:cs="Times New Roman"/>
          <w:sz w:val="24"/>
          <w:szCs w:val="24"/>
        </w:rPr>
      </w:pPr>
      <w:r w:rsidRPr="00AA0EA1">
        <w:rPr>
          <w:rFonts w:ascii="Times New Roman" w:eastAsia="Times New Roman" w:hAnsi="Times New Roman" w:cs="Times New Roman"/>
          <w:sz w:val="24"/>
          <w:szCs w:val="24"/>
        </w:rPr>
        <w:t>DFK – należy przez to rozu</w:t>
      </w:r>
      <w:r w:rsidR="00AA0EA1">
        <w:rPr>
          <w:rFonts w:ascii="Times New Roman" w:eastAsia="Times New Roman" w:hAnsi="Times New Roman" w:cs="Times New Roman"/>
          <w:sz w:val="24"/>
          <w:szCs w:val="24"/>
        </w:rPr>
        <w:t xml:space="preserve">mieć Dział Finansowo – Księgowy </w:t>
      </w:r>
      <w:r w:rsidR="00AA0EA1" w:rsidRPr="00A97B9D">
        <w:rPr>
          <w:rFonts w:ascii="Times New Roman" w:eastAsia="Times New Roman" w:hAnsi="Times New Roman" w:cs="Times New Roman"/>
          <w:sz w:val="24"/>
          <w:szCs w:val="24"/>
        </w:rPr>
        <w:t>w MOPS;</w:t>
      </w:r>
    </w:p>
    <w:p w14:paraId="2DFBE944" w14:textId="77777777" w:rsidR="004F78B8" w:rsidRPr="0043280E" w:rsidRDefault="004F78B8" w:rsidP="007002AF">
      <w:pPr>
        <w:numPr>
          <w:ilvl w:val="0"/>
          <w:numId w:val="18"/>
        </w:numPr>
        <w:tabs>
          <w:tab w:val="left" w:pos="421"/>
        </w:tabs>
        <w:spacing w:line="360" w:lineRule="auto"/>
        <w:ind w:left="697" w:hanging="357"/>
        <w:jc w:val="both"/>
        <w:rPr>
          <w:rFonts w:ascii="Times New Roman" w:hAnsi="Times New Roman" w:cs="Times New Roman"/>
          <w:sz w:val="24"/>
          <w:szCs w:val="24"/>
        </w:rPr>
      </w:pPr>
      <w:r w:rsidRPr="00AA0EA1">
        <w:rPr>
          <w:rFonts w:ascii="Times New Roman" w:eastAsia="Times New Roman" w:hAnsi="Times New Roman" w:cs="Times New Roman"/>
          <w:sz w:val="24"/>
          <w:szCs w:val="24"/>
        </w:rPr>
        <w:t>dziale merytorycznym – należy pr</w:t>
      </w:r>
      <w:r w:rsidR="00AA0EA1">
        <w:rPr>
          <w:rFonts w:ascii="Times New Roman" w:eastAsia="Times New Roman" w:hAnsi="Times New Roman" w:cs="Times New Roman"/>
          <w:sz w:val="24"/>
          <w:szCs w:val="24"/>
        </w:rPr>
        <w:t xml:space="preserve">zez to rozumieć </w:t>
      </w:r>
      <w:r w:rsidR="00AA0EA1" w:rsidRPr="00A97B9D">
        <w:rPr>
          <w:rFonts w:ascii="Times New Roman" w:eastAsia="Times New Roman" w:hAnsi="Times New Roman" w:cs="Times New Roman"/>
          <w:sz w:val="24"/>
          <w:szCs w:val="24"/>
        </w:rPr>
        <w:t xml:space="preserve">komórkę organizacyjną </w:t>
      </w:r>
      <w:r w:rsidR="00E16CAF" w:rsidRPr="00A97B9D">
        <w:rPr>
          <w:rFonts w:ascii="Times New Roman" w:eastAsia="Times New Roman" w:hAnsi="Times New Roman" w:cs="Times New Roman"/>
          <w:sz w:val="24"/>
          <w:szCs w:val="24"/>
        </w:rPr>
        <w:t xml:space="preserve">w </w:t>
      </w:r>
      <w:r w:rsidR="00AA0EA1" w:rsidRPr="00A97B9D">
        <w:rPr>
          <w:rFonts w:ascii="Times New Roman" w:eastAsia="Times New Roman" w:hAnsi="Times New Roman" w:cs="Times New Roman"/>
          <w:sz w:val="24"/>
          <w:szCs w:val="24"/>
        </w:rPr>
        <w:t>MOPS,</w:t>
      </w:r>
      <w:r w:rsidRPr="00A97B9D">
        <w:rPr>
          <w:rFonts w:ascii="Times New Roman" w:eastAsia="Times New Roman" w:hAnsi="Times New Roman" w:cs="Times New Roman"/>
          <w:sz w:val="24"/>
          <w:szCs w:val="24"/>
        </w:rPr>
        <w:t xml:space="preserve"> </w:t>
      </w:r>
      <w:r w:rsidRPr="00AA0EA1">
        <w:rPr>
          <w:rFonts w:ascii="Times New Roman" w:hAnsi="Times New Roman" w:cs="Times New Roman"/>
          <w:sz w:val="24"/>
          <w:szCs w:val="24"/>
        </w:rPr>
        <w:t xml:space="preserve"> </w:t>
      </w:r>
      <w:r w:rsidR="00AA0EA1" w:rsidRPr="00A97B9D">
        <w:rPr>
          <w:rFonts w:ascii="Times New Roman" w:hAnsi="Times New Roman" w:cs="Times New Roman"/>
          <w:bCs/>
          <w:sz w:val="24"/>
          <w:szCs w:val="24"/>
        </w:rPr>
        <w:t>której</w:t>
      </w:r>
      <w:r w:rsidR="00AA0EA1">
        <w:rPr>
          <w:rFonts w:ascii="Times New Roman" w:hAnsi="Times New Roman" w:cs="Times New Roman"/>
          <w:sz w:val="24"/>
          <w:szCs w:val="24"/>
        </w:rPr>
        <w:t xml:space="preserve"> </w:t>
      </w:r>
      <w:r w:rsidRPr="00AA0EA1">
        <w:rPr>
          <w:rFonts w:ascii="Times New Roman" w:hAnsi="Times New Roman" w:cs="Times New Roman"/>
          <w:sz w:val="24"/>
          <w:szCs w:val="24"/>
        </w:rPr>
        <w:t xml:space="preserve">klient nie spłaca zadłużenia wynikającego z decyzji administracyjnej, tj.: </w:t>
      </w:r>
      <w:r w:rsidRPr="00AA0EA1">
        <w:rPr>
          <w:rFonts w:ascii="Times New Roman" w:eastAsia="Times New Roman" w:hAnsi="Times New Roman" w:cs="Times New Roman"/>
          <w:sz w:val="24"/>
          <w:szCs w:val="24"/>
        </w:rPr>
        <w:t>Dział Pracy Socjalnej, Dział Pomocy Seniorom i Osobom Niepełnosprawnym, Dział Pieczy Zastępczej, Dział Świadczeń Rodzinnych i Funduszu Alimentacyjnego</w:t>
      </w:r>
      <w:r w:rsidR="0043280E">
        <w:rPr>
          <w:rFonts w:ascii="Times New Roman" w:eastAsia="Times New Roman" w:hAnsi="Times New Roman" w:cs="Times New Roman"/>
          <w:sz w:val="24"/>
          <w:szCs w:val="24"/>
        </w:rPr>
        <w:t>;</w:t>
      </w:r>
    </w:p>
    <w:p w14:paraId="34309CE3" w14:textId="77777777" w:rsidR="0043280E" w:rsidRPr="00AA0EA1" w:rsidRDefault="0043280E" w:rsidP="007002AF">
      <w:pPr>
        <w:numPr>
          <w:ilvl w:val="0"/>
          <w:numId w:val="18"/>
        </w:numPr>
        <w:tabs>
          <w:tab w:val="left" w:pos="421"/>
        </w:tabs>
        <w:spacing w:line="360" w:lineRule="auto"/>
        <w:ind w:left="697" w:hanging="357"/>
        <w:jc w:val="both"/>
        <w:rPr>
          <w:rFonts w:ascii="Times New Roman" w:hAnsi="Times New Roman" w:cs="Times New Roman"/>
          <w:sz w:val="24"/>
          <w:szCs w:val="24"/>
        </w:rPr>
      </w:pPr>
      <w:r>
        <w:rPr>
          <w:rFonts w:ascii="Times New Roman" w:eastAsia="Times New Roman" w:hAnsi="Times New Roman" w:cs="Times New Roman"/>
          <w:sz w:val="24"/>
          <w:szCs w:val="24"/>
        </w:rPr>
        <w:t xml:space="preserve">rozporządzeniu Ministra Finansów – należy przez to rozumieć rozporządzenie Ministra Finansów z dnia 11 września 2015 r. w sprawie wysokości kosztów upomnienia skierowanego przez wierzyciela do zobowiązanego przed wszczęciem egzekucji administracyjnej (Dz.U. z 2015 r. poz.1526) </w:t>
      </w:r>
    </w:p>
    <w:p w14:paraId="47FF795F" w14:textId="77777777" w:rsidR="004F78B8" w:rsidRPr="00C17343" w:rsidRDefault="004F78B8">
      <w:pPr>
        <w:spacing w:line="12" w:lineRule="exact"/>
        <w:jc w:val="both"/>
        <w:rPr>
          <w:rFonts w:ascii="Times New Roman" w:eastAsia="Times New Roman" w:hAnsi="Times New Roman" w:cs="Times New Roman"/>
          <w:sz w:val="24"/>
        </w:rPr>
      </w:pPr>
    </w:p>
    <w:p w14:paraId="2EE0013D" w14:textId="77777777" w:rsidR="004F78B8" w:rsidRPr="00C17343" w:rsidRDefault="004F78B8">
      <w:pPr>
        <w:spacing w:line="13" w:lineRule="exact"/>
        <w:jc w:val="both"/>
        <w:rPr>
          <w:rFonts w:ascii="Times New Roman" w:eastAsia="Times New Roman" w:hAnsi="Times New Roman" w:cs="Times New Roman"/>
          <w:sz w:val="24"/>
        </w:rPr>
      </w:pPr>
    </w:p>
    <w:p w14:paraId="629C3ED3" w14:textId="77777777" w:rsidR="004F78B8" w:rsidRPr="003F7A0C" w:rsidRDefault="004F78B8">
      <w:pPr>
        <w:spacing w:line="281" w:lineRule="exact"/>
        <w:jc w:val="both"/>
        <w:rPr>
          <w:rFonts w:ascii="Times New Roman" w:eastAsia="Times New Roman" w:hAnsi="Times New Roman" w:cs="Times New Roman"/>
          <w:sz w:val="16"/>
          <w:szCs w:val="16"/>
        </w:rPr>
      </w:pPr>
    </w:p>
    <w:p w14:paraId="1F23114D" w14:textId="77777777" w:rsidR="004F78B8" w:rsidRPr="00AA0EA1" w:rsidRDefault="004F78B8">
      <w:pPr>
        <w:spacing w:line="0" w:lineRule="atLeast"/>
        <w:ind w:left="4381"/>
        <w:jc w:val="both"/>
        <w:rPr>
          <w:rFonts w:ascii="Times New Roman" w:hAnsi="Times New Roman" w:cs="Times New Roman"/>
        </w:rPr>
      </w:pPr>
      <w:r w:rsidRPr="00AA0EA1">
        <w:rPr>
          <w:rFonts w:ascii="Times New Roman" w:eastAsia="Times New Roman" w:hAnsi="Times New Roman" w:cs="Times New Roman"/>
          <w:sz w:val="24"/>
        </w:rPr>
        <w:t>§ 2</w:t>
      </w:r>
      <w:r w:rsidR="00AA0EA1">
        <w:rPr>
          <w:rFonts w:ascii="Times New Roman" w:eastAsia="Times New Roman" w:hAnsi="Times New Roman" w:cs="Times New Roman"/>
          <w:sz w:val="24"/>
        </w:rPr>
        <w:t>.</w:t>
      </w:r>
    </w:p>
    <w:p w14:paraId="1F5B78FD" w14:textId="77777777" w:rsidR="004F78B8" w:rsidRPr="003F7A0C" w:rsidRDefault="004F78B8">
      <w:pPr>
        <w:spacing w:line="281" w:lineRule="exact"/>
        <w:jc w:val="both"/>
        <w:rPr>
          <w:rFonts w:ascii="Times New Roman" w:eastAsia="Times New Roman" w:hAnsi="Times New Roman" w:cs="Times New Roman"/>
          <w:b/>
          <w:sz w:val="16"/>
          <w:szCs w:val="16"/>
        </w:rPr>
      </w:pPr>
    </w:p>
    <w:p w14:paraId="133D365D" w14:textId="77777777" w:rsidR="004F78B8" w:rsidRPr="00C17343" w:rsidRDefault="004F78B8" w:rsidP="00AA0EA1">
      <w:pPr>
        <w:numPr>
          <w:ilvl w:val="0"/>
          <w:numId w:val="5"/>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color w:val="000000"/>
          <w:sz w:val="24"/>
        </w:rPr>
        <w:t xml:space="preserve">Opłaty za świadczone usługi wnoszone są na podstawie decyzji, </w:t>
      </w:r>
      <w:r w:rsidR="00AA0EA1" w:rsidRPr="00A97B9D">
        <w:rPr>
          <w:rFonts w:ascii="Times New Roman" w:eastAsia="Times New Roman" w:hAnsi="Times New Roman" w:cs="Times New Roman"/>
          <w:bCs/>
          <w:sz w:val="24"/>
        </w:rPr>
        <w:t>która określa</w:t>
      </w:r>
      <w:r w:rsidR="00AA0EA1">
        <w:rPr>
          <w:rFonts w:ascii="Times New Roman" w:eastAsia="Times New Roman" w:hAnsi="Times New Roman" w:cs="Times New Roman"/>
          <w:color w:val="000000"/>
          <w:sz w:val="24"/>
        </w:rPr>
        <w:t xml:space="preserve"> </w:t>
      </w:r>
      <w:r w:rsidRPr="00C17343">
        <w:rPr>
          <w:rFonts w:ascii="Times New Roman" w:eastAsia="Times New Roman" w:hAnsi="Times New Roman" w:cs="Times New Roman"/>
          <w:color w:val="000000"/>
          <w:sz w:val="24"/>
        </w:rPr>
        <w:t>m</w:t>
      </w:r>
      <w:r w:rsidR="00A97B9D">
        <w:rPr>
          <w:rFonts w:ascii="Times New Roman" w:eastAsia="Times New Roman" w:hAnsi="Times New Roman" w:cs="Times New Roman"/>
          <w:color w:val="000000"/>
          <w:sz w:val="24"/>
        </w:rPr>
        <w:t xml:space="preserve">iędzy </w:t>
      </w:r>
      <w:r w:rsidRPr="00C17343">
        <w:rPr>
          <w:rFonts w:ascii="Times New Roman" w:eastAsia="Times New Roman" w:hAnsi="Times New Roman" w:cs="Times New Roman"/>
          <w:color w:val="000000"/>
          <w:sz w:val="24"/>
        </w:rPr>
        <w:t>in</w:t>
      </w:r>
      <w:r w:rsidR="00A97B9D">
        <w:rPr>
          <w:rFonts w:ascii="Times New Roman" w:eastAsia="Times New Roman" w:hAnsi="Times New Roman" w:cs="Times New Roman"/>
          <w:color w:val="000000"/>
          <w:sz w:val="24"/>
        </w:rPr>
        <w:t>nymi</w:t>
      </w:r>
      <w:r w:rsidRPr="00C17343">
        <w:rPr>
          <w:rFonts w:ascii="Times New Roman" w:eastAsia="Times New Roman" w:hAnsi="Times New Roman" w:cs="Times New Roman"/>
          <w:color w:val="000000"/>
          <w:sz w:val="24"/>
        </w:rPr>
        <w:t xml:space="preserve"> kwotę należności, termin zapłaty oraz numer konta bankowego MOPS</w:t>
      </w:r>
      <w:r w:rsidRPr="00C17343">
        <w:rPr>
          <w:rFonts w:ascii="Times New Roman" w:eastAsia="Arial" w:hAnsi="Times New Roman" w:cs="Times New Roman"/>
          <w:bCs/>
          <w:color w:val="000000"/>
          <w:sz w:val="22"/>
          <w:szCs w:val="22"/>
        </w:rPr>
        <w:t xml:space="preserve"> </w:t>
      </w:r>
      <w:r w:rsidRPr="00C17343">
        <w:rPr>
          <w:rFonts w:ascii="Times New Roman" w:eastAsia="Times New Roman" w:hAnsi="Times New Roman" w:cs="Times New Roman"/>
          <w:bCs/>
          <w:color w:val="000000"/>
          <w:sz w:val="24"/>
        </w:rPr>
        <w:t>lub na podstawie informacji stwierdzających o wysokości przypisanej kwoty należności.</w:t>
      </w:r>
    </w:p>
    <w:p w14:paraId="2E5B46F5" w14:textId="77777777" w:rsidR="004F78B8" w:rsidRDefault="004F78B8" w:rsidP="00AA0EA1">
      <w:pPr>
        <w:numPr>
          <w:ilvl w:val="0"/>
          <w:numId w:val="5"/>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Jeżeli należność z tytułu opłat nie zostanie zapłacona w terminie określonym w decyzji,</w:t>
      </w:r>
      <w:r w:rsidRPr="00C17343">
        <w:rPr>
          <w:rFonts w:ascii="Times New Roman" w:eastAsia="Times New Roman" w:hAnsi="Times New Roman" w:cs="Times New Roman"/>
          <w:sz w:val="24"/>
        </w:rPr>
        <w:br/>
        <w:t xml:space="preserve">a istnieje uzasadnione przypuszczenie, że zobowiązany dobrowolnie spłaci należność, bez konieczności wszczęcia postępowania egzekucyjnego, wierzyciel może podjąć </w:t>
      </w:r>
      <w:r w:rsidRPr="00A97B9D">
        <w:rPr>
          <w:rFonts w:ascii="Times New Roman" w:eastAsia="Times New Roman" w:hAnsi="Times New Roman" w:cs="Times New Roman"/>
          <w:sz w:val="24"/>
        </w:rPr>
        <w:t>działania informacyjne wobec zobowiązanego.</w:t>
      </w:r>
      <w:r w:rsidRPr="00A97B9D">
        <w:rPr>
          <w:rFonts w:ascii="Times New Roman" w:hAnsi="Times New Roman" w:cs="Times New Roman"/>
        </w:rPr>
        <w:t xml:space="preserve"> </w:t>
      </w:r>
    </w:p>
    <w:p w14:paraId="7EBDEF2E" w14:textId="77777777" w:rsidR="003F7A0C" w:rsidRDefault="003F7A0C" w:rsidP="003F7A0C">
      <w:pPr>
        <w:tabs>
          <w:tab w:val="left" w:pos="421"/>
        </w:tabs>
        <w:spacing w:line="360" w:lineRule="auto"/>
        <w:jc w:val="both"/>
        <w:rPr>
          <w:rFonts w:ascii="Times New Roman" w:hAnsi="Times New Roman" w:cs="Times New Roman"/>
        </w:rPr>
      </w:pPr>
    </w:p>
    <w:p w14:paraId="578DB12B" w14:textId="77777777" w:rsidR="003F7A0C" w:rsidRDefault="003F7A0C" w:rsidP="003F7A0C">
      <w:pPr>
        <w:tabs>
          <w:tab w:val="left" w:pos="421"/>
        </w:tabs>
        <w:spacing w:line="360" w:lineRule="auto"/>
        <w:jc w:val="both"/>
        <w:rPr>
          <w:rFonts w:ascii="Times New Roman" w:hAnsi="Times New Roman" w:cs="Times New Roman"/>
        </w:rPr>
      </w:pPr>
    </w:p>
    <w:p w14:paraId="71D2A964" w14:textId="77777777" w:rsidR="003F7A0C" w:rsidRDefault="003F7A0C" w:rsidP="003F7A0C">
      <w:pPr>
        <w:tabs>
          <w:tab w:val="left" w:pos="421"/>
        </w:tabs>
        <w:spacing w:line="360" w:lineRule="auto"/>
        <w:jc w:val="both"/>
        <w:rPr>
          <w:rFonts w:ascii="Times New Roman" w:hAnsi="Times New Roman" w:cs="Times New Roman"/>
        </w:rPr>
      </w:pPr>
    </w:p>
    <w:p w14:paraId="39B95B50" w14:textId="77777777" w:rsidR="003F7A0C" w:rsidRPr="00A97B9D" w:rsidRDefault="003F7A0C" w:rsidP="003F7A0C">
      <w:pPr>
        <w:tabs>
          <w:tab w:val="left" w:pos="421"/>
        </w:tabs>
        <w:spacing w:line="360" w:lineRule="auto"/>
        <w:jc w:val="both"/>
        <w:rPr>
          <w:rFonts w:ascii="Times New Roman" w:hAnsi="Times New Roman" w:cs="Times New Roman"/>
        </w:rPr>
      </w:pPr>
    </w:p>
    <w:p w14:paraId="16F0DAD1" w14:textId="77777777" w:rsidR="004F78B8" w:rsidRPr="00C17343" w:rsidRDefault="004F78B8" w:rsidP="00AA0EA1">
      <w:pPr>
        <w:numPr>
          <w:ilvl w:val="0"/>
          <w:numId w:val="5"/>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Działania informacyjne podejmowane są w formie pisemnej. Z każdej z czynności sporządza się kartę informacyjną, stanowiącą załącznik nr 1 do</w:t>
      </w:r>
      <w:r w:rsidR="00A97B9D">
        <w:rPr>
          <w:rFonts w:ascii="Times New Roman" w:eastAsia="Times New Roman" w:hAnsi="Times New Roman" w:cs="Times New Roman"/>
          <w:sz w:val="24"/>
        </w:rPr>
        <w:t xml:space="preserve"> </w:t>
      </w:r>
      <w:r w:rsidRPr="00C17343">
        <w:rPr>
          <w:rFonts w:ascii="Times New Roman" w:eastAsia="Times New Roman" w:hAnsi="Times New Roman" w:cs="Times New Roman"/>
          <w:sz w:val="24"/>
        </w:rPr>
        <w:t>procedury.</w:t>
      </w:r>
    </w:p>
    <w:p w14:paraId="310733BB" w14:textId="77777777" w:rsidR="004F78B8" w:rsidRPr="00C17343" w:rsidRDefault="004F78B8" w:rsidP="00AA0EA1">
      <w:pPr>
        <w:numPr>
          <w:ilvl w:val="0"/>
          <w:numId w:val="5"/>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Działań informacyjnych  nie  stosujemy  w  przypadku  jeżeli okres  do  upływu  terminu  przedawnienia  należności pieniężnej jest krótszy niż 6 miesięcy.</w:t>
      </w:r>
    </w:p>
    <w:p w14:paraId="7C58626C" w14:textId="77777777" w:rsidR="004F78B8" w:rsidRPr="00C17343" w:rsidRDefault="004F78B8" w:rsidP="00AA0EA1">
      <w:pPr>
        <w:numPr>
          <w:ilvl w:val="0"/>
          <w:numId w:val="5"/>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 xml:space="preserve">Działania informacyjne są podejmowane przez pracowników DFK oraz pracowników działów merytorycznych. </w:t>
      </w:r>
    </w:p>
    <w:p w14:paraId="65C4D31A" w14:textId="519B630A" w:rsidR="004F78B8" w:rsidRPr="00C17343" w:rsidRDefault="004F78B8" w:rsidP="00AA0EA1">
      <w:pPr>
        <w:numPr>
          <w:ilvl w:val="0"/>
          <w:numId w:val="5"/>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 xml:space="preserve">DFK wysyła do zobowiązanego informacje o niezapłaconych należnościach w formie papierowej </w:t>
      </w:r>
      <w:r w:rsidRPr="003C22C1">
        <w:rPr>
          <w:rFonts w:ascii="Times New Roman" w:eastAsia="Times New Roman" w:hAnsi="Times New Roman" w:cs="Times New Roman"/>
          <w:sz w:val="24"/>
        </w:rPr>
        <w:t>lub elektronicznej</w:t>
      </w:r>
      <w:r w:rsidRPr="00C17343">
        <w:rPr>
          <w:rFonts w:ascii="Times New Roman" w:eastAsia="Times New Roman" w:hAnsi="Times New Roman" w:cs="Times New Roman"/>
          <w:sz w:val="24"/>
        </w:rPr>
        <w:t>. Wzór informacji stanowi załącznik nr 2 do procedury.</w:t>
      </w:r>
    </w:p>
    <w:p w14:paraId="4AE36EAD" w14:textId="77777777" w:rsidR="004F78B8" w:rsidRPr="00C17343" w:rsidRDefault="004F78B8" w:rsidP="00AA0EA1">
      <w:pPr>
        <w:numPr>
          <w:ilvl w:val="0"/>
          <w:numId w:val="5"/>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 xml:space="preserve">W przypadku </w:t>
      </w:r>
      <w:r w:rsidRPr="00A97B9D">
        <w:rPr>
          <w:rFonts w:ascii="Times New Roman" w:eastAsia="Times New Roman" w:hAnsi="Times New Roman" w:cs="Times New Roman"/>
          <w:sz w:val="24"/>
        </w:rPr>
        <w:t>braku wpłaty w ciągu</w:t>
      </w:r>
      <w:r w:rsidRPr="00C17343">
        <w:rPr>
          <w:rFonts w:ascii="Times New Roman" w:eastAsia="Times New Roman" w:hAnsi="Times New Roman" w:cs="Times New Roman"/>
          <w:sz w:val="24"/>
        </w:rPr>
        <w:t xml:space="preserve"> </w:t>
      </w:r>
      <w:r w:rsidRPr="00A97B9D">
        <w:rPr>
          <w:rFonts w:ascii="Times New Roman" w:eastAsia="Times New Roman" w:hAnsi="Times New Roman" w:cs="Times New Roman"/>
          <w:bCs/>
          <w:sz w:val="24"/>
        </w:rPr>
        <w:t>10 dni po wysłaniu</w:t>
      </w:r>
      <w:r w:rsidR="00A97B9D">
        <w:rPr>
          <w:rFonts w:ascii="Times New Roman" w:eastAsia="Times New Roman" w:hAnsi="Times New Roman" w:cs="Times New Roman"/>
          <w:bCs/>
          <w:sz w:val="24"/>
        </w:rPr>
        <w:t xml:space="preserve"> informacji określonej w ust. 6, </w:t>
      </w:r>
      <w:r w:rsidRPr="00C17343">
        <w:rPr>
          <w:rFonts w:ascii="Times New Roman" w:eastAsia="Times New Roman" w:hAnsi="Times New Roman" w:cs="Times New Roman"/>
          <w:sz w:val="24"/>
        </w:rPr>
        <w:t xml:space="preserve">dalsze czynności informacyjne dokonują pracownicy działów merytorycznych na podstawie informacji uzyskanej od DFK. </w:t>
      </w:r>
    </w:p>
    <w:p w14:paraId="1219C1B6" w14:textId="77777777" w:rsidR="004F78B8" w:rsidRPr="00C17343" w:rsidRDefault="004F78B8" w:rsidP="00AA0EA1">
      <w:pPr>
        <w:numPr>
          <w:ilvl w:val="0"/>
          <w:numId w:val="5"/>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Działy merytoryczne informują DFK:</w:t>
      </w:r>
    </w:p>
    <w:p w14:paraId="012914F3" w14:textId="77777777" w:rsidR="004F78B8" w:rsidRPr="00C17343" w:rsidRDefault="004F78B8" w:rsidP="00B25C46">
      <w:pPr>
        <w:tabs>
          <w:tab w:val="left" w:pos="421"/>
        </w:tabs>
        <w:spacing w:line="360" w:lineRule="auto"/>
        <w:ind w:left="420" w:right="23"/>
        <w:jc w:val="both"/>
        <w:rPr>
          <w:rFonts w:ascii="Times New Roman" w:hAnsi="Times New Roman" w:cs="Times New Roman"/>
        </w:rPr>
      </w:pPr>
      <w:r w:rsidRPr="00C17343">
        <w:rPr>
          <w:rFonts w:ascii="Times New Roman" w:eastAsia="Times New Roman" w:hAnsi="Times New Roman" w:cs="Times New Roman"/>
          <w:sz w:val="24"/>
        </w:rPr>
        <w:t>1) o skutecznym zakończeniu działań informacyjnych</w:t>
      </w:r>
      <w:r w:rsidR="00B25C46">
        <w:rPr>
          <w:rFonts w:ascii="Times New Roman" w:eastAsia="Times New Roman" w:hAnsi="Times New Roman" w:cs="Times New Roman"/>
          <w:sz w:val="24"/>
        </w:rPr>
        <w:t>;</w:t>
      </w:r>
    </w:p>
    <w:p w14:paraId="201559BD" w14:textId="77777777" w:rsidR="004F78B8" w:rsidRPr="00C17343" w:rsidRDefault="004F78B8" w:rsidP="00B25C46">
      <w:pPr>
        <w:tabs>
          <w:tab w:val="left" w:pos="421"/>
        </w:tabs>
        <w:spacing w:line="360" w:lineRule="auto"/>
        <w:ind w:left="420" w:right="23"/>
        <w:jc w:val="both"/>
        <w:rPr>
          <w:rFonts w:ascii="Times New Roman" w:hAnsi="Times New Roman" w:cs="Times New Roman"/>
        </w:rPr>
      </w:pPr>
      <w:r w:rsidRPr="00C17343">
        <w:rPr>
          <w:rFonts w:ascii="Times New Roman" w:eastAsia="Times New Roman" w:hAnsi="Times New Roman" w:cs="Times New Roman"/>
          <w:sz w:val="24"/>
        </w:rPr>
        <w:t xml:space="preserve">2) nie podjęciu tych działań. </w:t>
      </w:r>
    </w:p>
    <w:p w14:paraId="6E20689F" w14:textId="77777777" w:rsidR="004F78B8" w:rsidRPr="00C17343" w:rsidRDefault="004F78B8">
      <w:pPr>
        <w:numPr>
          <w:ilvl w:val="0"/>
          <w:numId w:val="5"/>
        </w:numPr>
        <w:tabs>
          <w:tab w:val="left" w:pos="421"/>
        </w:tabs>
        <w:spacing w:line="228" w:lineRule="auto"/>
        <w:ind w:left="421" w:right="20" w:hanging="421"/>
        <w:jc w:val="both"/>
        <w:rPr>
          <w:rFonts w:ascii="Times New Roman" w:hAnsi="Times New Roman" w:cs="Times New Roman"/>
        </w:rPr>
      </w:pPr>
      <w:r w:rsidRPr="00C17343">
        <w:rPr>
          <w:rFonts w:ascii="Times New Roman" w:eastAsia="Times New Roman" w:hAnsi="Times New Roman" w:cs="Times New Roman"/>
          <w:sz w:val="24"/>
        </w:rPr>
        <w:t>Działania informacyjne nie mogą przekroczyć 21 dni od daty ich rozpoczęcia.</w:t>
      </w:r>
    </w:p>
    <w:p w14:paraId="6C5A939B" w14:textId="77777777" w:rsidR="004F78B8" w:rsidRPr="00C17343" w:rsidRDefault="004F78B8">
      <w:pPr>
        <w:spacing w:line="14" w:lineRule="exact"/>
        <w:jc w:val="both"/>
        <w:rPr>
          <w:rFonts w:ascii="Times New Roman" w:eastAsia="Times New Roman" w:hAnsi="Times New Roman" w:cs="Times New Roman"/>
          <w:sz w:val="24"/>
        </w:rPr>
      </w:pPr>
    </w:p>
    <w:p w14:paraId="69DDA2DB" w14:textId="77777777" w:rsidR="004F78B8" w:rsidRPr="00C17343" w:rsidRDefault="004F78B8">
      <w:pPr>
        <w:spacing w:line="1" w:lineRule="exact"/>
        <w:jc w:val="both"/>
        <w:rPr>
          <w:rFonts w:ascii="Times New Roman" w:eastAsia="Times New Roman" w:hAnsi="Times New Roman" w:cs="Times New Roman"/>
          <w:sz w:val="24"/>
        </w:rPr>
      </w:pPr>
    </w:p>
    <w:p w14:paraId="76BDAE01" w14:textId="77777777" w:rsidR="004F78B8" w:rsidRPr="00C17343" w:rsidRDefault="004F78B8">
      <w:pPr>
        <w:spacing w:line="281" w:lineRule="exact"/>
        <w:jc w:val="both"/>
        <w:rPr>
          <w:rFonts w:ascii="Times New Roman" w:eastAsia="Times New Roman" w:hAnsi="Times New Roman" w:cs="Times New Roman"/>
          <w:sz w:val="24"/>
        </w:rPr>
      </w:pPr>
    </w:p>
    <w:p w14:paraId="65C965A1" w14:textId="77777777" w:rsidR="004F78B8" w:rsidRPr="007002AF" w:rsidRDefault="007002AF" w:rsidP="007002AF">
      <w:pPr>
        <w:tabs>
          <w:tab w:val="left" w:pos="4561"/>
        </w:tabs>
        <w:spacing w:line="0" w:lineRule="atLeast"/>
        <w:jc w:val="center"/>
        <w:rPr>
          <w:rFonts w:ascii="Times New Roman" w:hAnsi="Times New Roman" w:cs="Times New Roman"/>
        </w:rPr>
      </w:pPr>
      <w:r w:rsidRPr="007002AF">
        <w:rPr>
          <w:rFonts w:ascii="Times New Roman" w:eastAsia="Times New Roman" w:hAnsi="Times New Roman" w:cs="Times New Roman"/>
          <w:sz w:val="24"/>
        </w:rPr>
        <w:t>§ 3.</w:t>
      </w:r>
    </w:p>
    <w:p w14:paraId="7A4CC8B2" w14:textId="77777777" w:rsidR="004F78B8" w:rsidRPr="003F7A0C" w:rsidRDefault="004F78B8">
      <w:pPr>
        <w:spacing w:line="283" w:lineRule="exact"/>
        <w:jc w:val="both"/>
        <w:rPr>
          <w:rFonts w:ascii="Times New Roman" w:eastAsia="Times New Roman" w:hAnsi="Times New Roman" w:cs="Times New Roman"/>
          <w:b/>
          <w:sz w:val="16"/>
          <w:szCs w:val="16"/>
        </w:rPr>
      </w:pPr>
    </w:p>
    <w:p w14:paraId="6EBC547D" w14:textId="77777777" w:rsidR="004F78B8" w:rsidRPr="00B25C46" w:rsidRDefault="004F78B8" w:rsidP="00B25C46">
      <w:pPr>
        <w:numPr>
          <w:ilvl w:val="0"/>
          <w:numId w:val="20"/>
        </w:numPr>
        <w:tabs>
          <w:tab w:val="left" w:pos="421"/>
        </w:tabs>
        <w:spacing w:line="360" w:lineRule="auto"/>
        <w:ind w:left="357" w:hanging="357"/>
        <w:jc w:val="both"/>
        <w:rPr>
          <w:rFonts w:ascii="Times New Roman" w:hAnsi="Times New Roman" w:cs="Times New Roman"/>
          <w:sz w:val="24"/>
          <w:szCs w:val="24"/>
        </w:rPr>
      </w:pPr>
      <w:r w:rsidRPr="00B25C46">
        <w:rPr>
          <w:rFonts w:ascii="Times New Roman" w:eastAsia="Times New Roman" w:hAnsi="Times New Roman" w:cs="Times New Roman"/>
          <w:sz w:val="24"/>
          <w:szCs w:val="24"/>
        </w:rPr>
        <w:t>W przypadku stwierdzenia podlegających zwrotowi należności z tytułu wydatków na świadczenia z pomocy społecznej, wydatków na świadczenia rodzinne, wychowawcze, funduszu alimentacyjnego oraz wspierania rodziny i systemu pieczy zastępczej (n</w:t>
      </w:r>
      <w:r w:rsidR="00B25C46">
        <w:rPr>
          <w:rFonts w:ascii="Times New Roman" w:eastAsia="Times New Roman" w:hAnsi="Times New Roman" w:cs="Times New Roman"/>
          <w:sz w:val="24"/>
          <w:szCs w:val="24"/>
        </w:rPr>
        <w:t xml:space="preserve">ienależnie pobrane świadczenie), </w:t>
      </w:r>
      <w:r w:rsidRPr="00B25C46">
        <w:rPr>
          <w:rFonts w:ascii="Times New Roman" w:eastAsia="Times New Roman" w:hAnsi="Times New Roman" w:cs="Times New Roman"/>
          <w:sz w:val="24"/>
          <w:szCs w:val="24"/>
        </w:rPr>
        <w:t>kierownik</w:t>
      </w:r>
      <w:r w:rsidRPr="00B25C46">
        <w:rPr>
          <w:rFonts w:ascii="Times New Roman" w:hAnsi="Times New Roman" w:cs="Times New Roman"/>
          <w:sz w:val="24"/>
          <w:szCs w:val="24"/>
        </w:rPr>
        <w:t xml:space="preserve"> </w:t>
      </w:r>
      <w:r w:rsidRPr="00AF70A5">
        <w:rPr>
          <w:rFonts w:ascii="Times New Roman" w:hAnsi="Times New Roman" w:cs="Times New Roman"/>
          <w:sz w:val="24"/>
          <w:szCs w:val="24"/>
        </w:rPr>
        <w:t>lub upoważniony pracownik właściwego działu merytorycznego</w:t>
      </w:r>
      <w:r w:rsidRPr="00B25C46">
        <w:rPr>
          <w:rFonts w:ascii="Times New Roman" w:hAnsi="Times New Roman" w:cs="Times New Roman"/>
          <w:sz w:val="24"/>
          <w:szCs w:val="24"/>
        </w:rPr>
        <w:t xml:space="preserve"> </w:t>
      </w:r>
      <w:r w:rsidRPr="00B25C46">
        <w:rPr>
          <w:rFonts w:ascii="Times New Roman" w:eastAsia="Times New Roman" w:hAnsi="Times New Roman" w:cs="Times New Roman"/>
          <w:sz w:val="24"/>
          <w:szCs w:val="24"/>
        </w:rPr>
        <w:t xml:space="preserve">niezwłocznie wydaje decyzję o zwrocie świadczenia, w której określa </w:t>
      </w:r>
      <w:r w:rsidR="00B25C46">
        <w:rPr>
          <w:rFonts w:ascii="Times New Roman" w:eastAsia="Times New Roman" w:hAnsi="Times New Roman" w:cs="Times New Roman"/>
          <w:sz w:val="24"/>
          <w:szCs w:val="24"/>
        </w:rPr>
        <w:t>między innymi:</w:t>
      </w:r>
      <w:r w:rsidRPr="00B25C46">
        <w:rPr>
          <w:rFonts w:ascii="Times New Roman" w:eastAsia="Times New Roman" w:hAnsi="Times New Roman" w:cs="Times New Roman"/>
          <w:sz w:val="24"/>
          <w:szCs w:val="24"/>
        </w:rPr>
        <w:t xml:space="preserve"> kwotę zwrotu, </w:t>
      </w:r>
      <w:r w:rsidRPr="00A97B9D">
        <w:rPr>
          <w:rFonts w:ascii="Times New Roman" w:eastAsia="Times New Roman" w:hAnsi="Times New Roman" w:cs="Times New Roman"/>
          <w:bCs/>
          <w:sz w:val="24"/>
          <w:szCs w:val="24"/>
        </w:rPr>
        <w:t>termin zapłaty, ewentualnych odsetek</w:t>
      </w:r>
      <w:r w:rsidRPr="00B25C46">
        <w:rPr>
          <w:rFonts w:ascii="Times New Roman" w:eastAsia="Times New Roman" w:hAnsi="Times New Roman" w:cs="Times New Roman"/>
          <w:sz w:val="24"/>
          <w:szCs w:val="24"/>
        </w:rPr>
        <w:t xml:space="preserve"> oraz numer konta bankowego MOPS.</w:t>
      </w:r>
    </w:p>
    <w:p w14:paraId="4A023B1E" w14:textId="77777777" w:rsidR="004F78B8" w:rsidRPr="00B25C46" w:rsidRDefault="004F78B8" w:rsidP="00B25C46">
      <w:pPr>
        <w:numPr>
          <w:ilvl w:val="0"/>
          <w:numId w:val="20"/>
        </w:numPr>
        <w:tabs>
          <w:tab w:val="left" w:pos="421"/>
        </w:tabs>
        <w:spacing w:line="360" w:lineRule="auto"/>
        <w:ind w:left="357" w:hanging="357"/>
        <w:jc w:val="both"/>
        <w:rPr>
          <w:rFonts w:ascii="Times New Roman" w:hAnsi="Times New Roman" w:cs="Times New Roman"/>
          <w:sz w:val="24"/>
          <w:szCs w:val="24"/>
        </w:rPr>
      </w:pPr>
      <w:bookmarkStart w:id="1" w:name="page3"/>
      <w:bookmarkEnd w:id="1"/>
      <w:r w:rsidRPr="00B25C46">
        <w:rPr>
          <w:rFonts w:ascii="Times New Roman" w:eastAsia="Times New Roman" w:hAnsi="Times New Roman" w:cs="Times New Roman"/>
          <w:sz w:val="24"/>
          <w:szCs w:val="24"/>
        </w:rPr>
        <w:t>Uprawomocniona decyzja o zwrocie przekazywana jest niezwłocznie do DFK.</w:t>
      </w:r>
    </w:p>
    <w:p w14:paraId="52A2C38A" w14:textId="77777777" w:rsidR="007002AF" w:rsidRPr="003F7A0C" w:rsidRDefault="007002AF" w:rsidP="007002AF">
      <w:pPr>
        <w:spacing w:line="281" w:lineRule="exact"/>
        <w:jc w:val="center"/>
        <w:rPr>
          <w:rFonts w:ascii="Times New Roman" w:eastAsia="Times New Roman" w:hAnsi="Times New Roman" w:cs="Times New Roman"/>
          <w:sz w:val="16"/>
          <w:szCs w:val="16"/>
        </w:rPr>
      </w:pPr>
    </w:p>
    <w:p w14:paraId="49347693" w14:textId="77777777" w:rsidR="007002AF" w:rsidRPr="003F7A0C" w:rsidRDefault="007002AF" w:rsidP="003F7A0C">
      <w:pPr>
        <w:spacing w:line="281" w:lineRule="exact"/>
        <w:jc w:val="center"/>
        <w:rPr>
          <w:rFonts w:ascii="Times New Roman" w:eastAsia="Times New Roman" w:hAnsi="Times New Roman" w:cs="Times New Roman"/>
          <w:sz w:val="24"/>
        </w:rPr>
      </w:pPr>
      <w:r w:rsidRPr="007002AF">
        <w:rPr>
          <w:rFonts w:ascii="Times New Roman" w:eastAsia="Times New Roman" w:hAnsi="Times New Roman" w:cs="Times New Roman"/>
          <w:sz w:val="24"/>
        </w:rPr>
        <w:t>§ 4.</w:t>
      </w:r>
    </w:p>
    <w:p w14:paraId="7CB5BF63" w14:textId="77777777" w:rsidR="004F78B8" w:rsidRPr="00C17343" w:rsidRDefault="004F78B8" w:rsidP="007002AF">
      <w:pPr>
        <w:numPr>
          <w:ilvl w:val="0"/>
          <w:numId w:val="23"/>
        </w:numPr>
        <w:tabs>
          <w:tab w:val="left" w:pos="421"/>
        </w:tabs>
        <w:spacing w:line="360" w:lineRule="auto"/>
        <w:ind w:left="357" w:hanging="357"/>
        <w:jc w:val="both"/>
        <w:rPr>
          <w:rFonts w:ascii="Times New Roman" w:hAnsi="Times New Roman" w:cs="Times New Roman"/>
        </w:rPr>
      </w:pPr>
      <w:r w:rsidRPr="00C17343">
        <w:rPr>
          <w:rFonts w:ascii="Times New Roman" w:eastAsia="Times New Roman" w:hAnsi="Times New Roman" w:cs="Times New Roman"/>
          <w:sz w:val="24"/>
        </w:rPr>
        <w:t>W przypadku, gdy:</w:t>
      </w:r>
    </w:p>
    <w:p w14:paraId="637C3EEF" w14:textId="77777777" w:rsidR="004F78B8" w:rsidRPr="00C17343" w:rsidRDefault="004F78B8" w:rsidP="00B25C46">
      <w:pPr>
        <w:numPr>
          <w:ilvl w:val="0"/>
          <w:numId w:val="13"/>
        </w:numPr>
        <w:tabs>
          <w:tab w:val="left" w:pos="421"/>
        </w:tabs>
        <w:spacing w:line="360" w:lineRule="auto"/>
        <w:ind w:left="697" w:hanging="357"/>
        <w:jc w:val="both"/>
        <w:rPr>
          <w:rFonts w:ascii="Times New Roman" w:hAnsi="Times New Roman" w:cs="Times New Roman"/>
        </w:rPr>
      </w:pPr>
      <w:r w:rsidRPr="00C17343">
        <w:rPr>
          <w:rFonts w:ascii="Times New Roman" w:eastAsia="Times New Roman" w:hAnsi="Times New Roman" w:cs="Times New Roman"/>
          <w:sz w:val="24"/>
        </w:rPr>
        <w:t>brak</w:t>
      </w:r>
      <w:r w:rsidRPr="00B25C46">
        <w:rPr>
          <w:rFonts w:ascii="Times New Roman" w:eastAsia="Times New Roman" w:hAnsi="Times New Roman" w:cs="Times New Roman"/>
          <w:b/>
          <w:color w:val="FF0000"/>
          <w:sz w:val="24"/>
        </w:rPr>
        <w:t xml:space="preserve"> </w:t>
      </w:r>
      <w:r w:rsidR="00B25C46">
        <w:rPr>
          <w:rFonts w:ascii="Times New Roman" w:eastAsia="Times New Roman" w:hAnsi="Times New Roman" w:cs="Times New Roman"/>
          <w:sz w:val="24"/>
        </w:rPr>
        <w:t xml:space="preserve"> </w:t>
      </w:r>
      <w:r w:rsidRPr="00C17343">
        <w:rPr>
          <w:rFonts w:ascii="Times New Roman" w:eastAsia="Times New Roman" w:hAnsi="Times New Roman" w:cs="Times New Roman"/>
          <w:sz w:val="24"/>
        </w:rPr>
        <w:t>przesłanek do podjęcia działań informacyjnych;</w:t>
      </w:r>
    </w:p>
    <w:p w14:paraId="15000F38" w14:textId="1F9FE38C" w:rsidR="003F7A0C" w:rsidRPr="0068535E" w:rsidRDefault="004F78B8" w:rsidP="003F7A0C">
      <w:pPr>
        <w:numPr>
          <w:ilvl w:val="0"/>
          <w:numId w:val="13"/>
        </w:numPr>
        <w:tabs>
          <w:tab w:val="left" w:pos="421"/>
        </w:tabs>
        <w:spacing w:line="360" w:lineRule="auto"/>
        <w:ind w:left="697" w:hanging="357"/>
        <w:jc w:val="both"/>
        <w:rPr>
          <w:rFonts w:ascii="Times New Roman" w:hAnsi="Times New Roman" w:cs="Times New Roman"/>
        </w:rPr>
      </w:pPr>
      <w:r w:rsidRPr="00C17343">
        <w:rPr>
          <w:rFonts w:ascii="Times New Roman" w:eastAsia="Times New Roman" w:hAnsi="Times New Roman" w:cs="Times New Roman"/>
          <w:sz w:val="24"/>
        </w:rPr>
        <w:t>działania informacyjne nie przyniosły spodziewanego rezultatu;</w:t>
      </w:r>
    </w:p>
    <w:p w14:paraId="4DFC5956" w14:textId="53E93106" w:rsidR="004F78B8" w:rsidRPr="0068535E" w:rsidRDefault="004F78B8" w:rsidP="00B25C46">
      <w:pPr>
        <w:numPr>
          <w:ilvl w:val="0"/>
          <w:numId w:val="13"/>
        </w:numPr>
        <w:tabs>
          <w:tab w:val="left" w:pos="421"/>
        </w:tabs>
        <w:spacing w:line="360" w:lineRule="auto"/>
        <w:ind w:left="697" w:hanging="357"/>
        <w:jc w:val="both"/>
        <w:rPr>
          <w:rFonts w:ascii="Times New Roman" w:hAnsi="Times New Roman" w:cs="Times New Roman"/>
        </w:rPr>
      </w:pPr>
      <w:r w:rsidRPr="00C17343">
        <w:rPr>
          <w:rFonts w:ascii="Times New Roman" w:eastAsia="Times New Roman" w:hAnsi="Times New Roman" w:cs="Times New Roman"/>
          <w:sz w:val="24"/>
        </w:rPr>
        <w:t xml:space="preserve">okres do upływu terminu przedawnienia należności pieniężnej jest krótszy niż 6 </w:t>
      </w:r>
      <w:r w:rsidR="00B25C46" w:rsidRPr="00A97B9D">
        <w:rPr>
          <w:rFonts w:ascii="Times New Roman" w:eastAsia="Times New Roman" w:hAnsi="Times New Roman" w:cs="Times New Roman"/>
          <w:bCs/>
          <w:sz w:val="24"/>
        </w:rPr>
        <w:t>miesięcy</w:t>
      </w:r>
      <w:r w:rsidRPr="00A97B9D">
        <w:rPr>
          <w:rFonts w:ascii="Times New Roman" w:eastAsia="Times New Roman" w:hAnsi="Times New Roman" w:cs="Times New Roman"/>
          <w:bCs/>
          <w:sz w:val="24"/>
        </w:rPr>
        <w:t>;</w:t>
      </w:r>
    </w:p>
    <w:p w14:paraId="340A91BE" w14:textId="1485E258" w:rsidR="0068535E" w:rsidRDefault="0068535E" w:rsidP="0068535E">
      <w:pPr>
        <w:tabs>
          <w:tab w:val="left" w:pos="421"/>
        </w:tabs>
        <w:spacing w:line="360" w:lineRule="auto"/>
        <w:jc w:val="both"/>
        <w:rPr>
          <w:rFonts w:ascii="Times New Roman" w:eastAsia="Times New Roman" w:hAnsi="Times New Roman" w:cs="Times New Roman"/>
          <w:bCs/>
          <w:sz w:val="24"/>
        </w:rPr>
      </w:pPr>
    </w:p>
    <w:p w14:paraId="6F4905E9" w14:textId="5F74A178" w:rsidR="0068535E" w:rsidRDefault="0068535E" w:rsidP="0068535E">
      <w:pPr>
        <w:tabs>
          <w:tab w:val="left" w:pos="421"/>
        </w:tabs>
        <w:spacing w:line="360" w:lineRule="auto"/>
        <w:jc w:val="both"/>
        <w:rPr>
          <w:rFonts w:ascii="Times New Roman" w:eastAsia="Times New Roman" w:hAnsi="Times New Roman" w:cs="Times New Roman"/>
          <w:bCs/>
          <w:sz w:val="24"/>
        </w:rPr>
      </w:pPr>
    </w:p>
    <w:p w14:paraId="1863731B" w14:textId="77777777" w:rsidR="0068535E" w:rsidRPr="00C17343" w:rsidRDefault="0068535E" w:rsidP="0068535E">
      <w:pPr>
        <w:tabs>
          <w:tab w:val="left" w:pos="421"/>
        </w:tabs>
        <w:spacing w:line="360" w:lineRule="auto"/>
        <w:jc w:val="both"/>
        <w:rPr>
          <w:rFonts w:ascii="Times New Roman" w:hAnsi="Times New Roman" w:cs="Times New Roman"/>
        </w:rPr>
      </w:pPr>
    </w:p>
    <w:p w14:paraId="64FC2603" w14:textId="77777777" w:rsidR="004F78B8" w:rsidRPr="00C17343" w:rsidRDefault="004F78B8" w:rsidP="00B25C46">
      <w:pPr>
        <w:numPr>
          <w:ilvl w:val="0"/>
          <w:numId w:val="13"/>
        </w:numPr>
        <w:tabs>
          <w:tab w:val="left" w:pos="421"/>
        </w:tabs>
        <w:spacing w:line="360" w:lineRule="auto"/>
        <w:ind w:left="697" w:hanging="357"/>
        <w:jc w:val="both"/>
        <w:rPr>
          <w:rFonts w:ascii="Times New Roman" w:hAnsi="Times New Roman" w:cs="Times New Roman"/>
        </w:rPr>
      </w:pPr>
      <w:r w:rsidRPr="00C17343">
        <w:rPr>
          <w:rFonts w:ascii="Times New Roman" w:eastAsia="Times New Roman" w:hAnsi="Times New Roman" w:cs="Times New Roman"/>
          <w:sz w:val="24"/>
        </w:rPr>
        <w:t>zostanie ujawniony majątek lub źródło dochodu zobowiązanego przewyższające kwotę wydatków egzekucyjnych w przypadku uprzedniego umorzenia postępowania egzekucyjnego przez właściwego komornika</w:t>
      </w:r>
      <w:r w:rsidR="00B25C46">
        <w:rPr>
          <w:rFonts w:ascii="Times New Roman" w:eastAsia="Times New Roman" w:hAnsi="Times New Roman" w:cs="Times New Roman"/>
          <w:sz w:val="24"/>
        </w:rPr>
        <w:t>;</w:t>
      </w:r>
    </w:p>
    <w:p w14:paraId="384B1EE7" w14:textId="77777777" w:rsidR="004F78B8" w:rsidRPr="00C17343" w:rsidRDefault="004F78B8" w:rsidP="00B25C46">
      <w:pPr>
        <w:numPr>
          <w:ilvl w:val="0"/>
          <w:numId w:val="13"/>
        </w:numPr>
        <w:tabs>
          <w:tab w:val="left" w:pos="421"/>
        </w:tabs>
        <w:spacing w:line="360" w:lineRule="auto"/>
        <w:ind w:left="697" w:hanging="357"/>
        <w:jc w:val="both"/>
        <w:rPr>
          <w:rFonts w:ascii="Times New Roman" w:hAnsi="Times New Roman" w:cs="Times New Roman"/>
        </w:rPr>
      </w:pPr>
      <w:r w:rsidRPr="00C17343">
        <w:rPr>
          <w:rFonts w:ascii="Times New Roman" w:eastAsia="Times New Roman" w:hAnsi="Times New Roman" w:cs="Times New Roman"/>
          <w:sz w:val="24"/>
        </w:rPr>
        <w:t>z podjętych działań informacyjnych wynikało, że zobowiązany dokona spłaty zaległości, a należność nie została spłacona w przeciągu 21 dni licząc od dnia podjęcia w/w czynności</w:t>
      </w:r>
      <w:r w:rsidR="00B25C46">
        <w:rPr>
          <w:rFonts w:ascii="Times New Roman" w:eastAsia="Times New Roman" w:hAnsi="Times New Roman" w:cs="Times New Roman"/>
          <w:sz w:val="24"/>
        </w:rPr>
        <w:t>;</w:t>
      </w:r>
    </w:p>
    <w:p w14:paraId="34ED4748" w14:textId="77777777" w:rsidR="004F78B8" w:rsidRPr="00A97B9D" w:rsidRDefault="00B25C46" w:rsidP="00B25C46">
      <w:pPr>
        <w:tabs>
          <w:tab w:val="left" w:pos="421"/>
        </w:tabs>
        <w:spacing w:line="36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4F78B8" w:rsidRPr="00C17343">
        <w:rPr>
          <w:rFonts w:ascii="Times New Roman" w:eastAsia="Times New Roman" w:hAnsi="Times New Roman" w:cs="Times New Roman"/>
          <w:sz w:val="24"/>
        </w:rPr>
        <w:t xml:space="preserve">MOPS w imieniu wierzyciela </w:t>
      </w:r>
      <w:r w:rsidRPr="00A97B9D">
        <w:rPr>
          <w:rFonts w:ascii="Times New Roman" w:eastAsia="Times New Roman" w:hAnsi="Times New Roman" w:cs="Times New Roman"/>
          <w:bCs/>
          <w:sz w:val="24"/>
        </w:rPr>
        <w:t>zobowiązany jest</w:t>
      </w:r>
      <w:r>
        <w:rPr>
          <w:rFonts w:ascii="Times New Roman" w:eastAsia="Times New Roman" w:hAnsi="Times New Roman" w:cs="Times New Roman"/>
          <w:sz w:val="24"/>
        </w:rPr>
        <w:t xml:space="preserve"> </w:t>
      </w:r>
      <w:r w:rsidR="004F78B8" w:rsidRPr="00C17343">
        <w:rPr>
          <w:rFonts w:ascii="Times New Roman" w:eastAsia="Times New Roman" w:hAnsi="Times New Roman" w:cs="Times New Roman"/>
          <w:sz w:val="24"/>
        </w:rPr>
        <w:t>do niezwłocznego</w:t>
      </w:r>
      <w:r w:rsidR="00A97B9D">
        <w:rPr>
          <w:rFonts w:ascii="Times New Roman" w:eastAsia="Times New Roman" w:hAnsi="Times New Roman" w:cs="Times New Roman"/>
          <w:sz w:val="24"/>
        </w:rPr>
        <w:t xml:space="preserve"> </w:t>
      </w:r>
      <w:r w:rsidR="004F78B8" w:rsidRPr="00C17343">
        <w:rPr>
          <w:rFonts w:ascii="Times New Roman" w:eastAsia="Times New Roman" w:hAnsi="Times New Roman" w:cs="Times New Roman"/>
          <w:sz w:val="24"/>
        </w:rPr>
        <w:t>wysłania upomnienia.</w:t>
      </w:r>
    </w:p>
    <w:p w14:paraId="0DD453F3" w14:textId="77777777" w:rsidR="004F78B8" w:rsidRPr="00C17343" w:rsidRDefault="004F78B8" w:rsidP="007002AF">
      <w:pPr>
        <w:numPr>
          <w:ilvl w:val="0"/>
          <w:numId w:val="23"/>
        </w:numPr>
        <w:tabs>
          <w:tab w:val="left" w:pos="421"/>
        </w:tabs>
        <w:spacing w:line="360" w:lineRule="auto"/>
        <w:ind w:left="357" w:hanging="357"/>
        <w:jc w:val="both"/>
        <w:rPr>
          <w:rFonts w:ascii="Times New Roman" w:hAnsi="Times New Roman" w:cs="Times New Roman"/>
        </w:rPr>
      </w:pPr>
      <w:r w:rsidRPr="00C17343">
        <w:rPr>
          <w:rFonts w:ascii="Times New Roman" w:eastAsia="Times New Roman" w:hAnsi="Times New Roman" w:cs="Times New Roman"/>
          <w:sz w:val="24"/>
        </w:rPr>
        <w:t>Upomnienie wystawia DFK według wzoru  stanowiącego załącznik nr 3 do procedury, wskazując w upomnieniu sposób i termin dokonania zwrotu należności przez zobowiązanego.</w:t>
      </w:r>
    </w:p>
    <w:p w14:paraId="25A54CFF" w14:textId="77777777" w:rsidR="004F78B8" w:rsidRPr="00C17343" w:rsidRDefault="004F78B8" w:rsidP="007002AF">
      <w:pPr>
        <w:numPr>
          <w:ilvl w:val="0"/>
          <w:numId w:val="23"/>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 xml:space="preserve">Koszty upomnienia obciążają zobowiązanego. Wysokość kosztów upomnienia wynika </w:t>
      </w:r>
      <w:r w:rsidRPr="003F7A0C">
        <w:rPr>
          <w:rFonts w:ascii="Times New Roman" w:eastAsia="Times New Roman" w:hAnsi="Times New Roman" w:cs="Times New Roman"/>
          <w:bCs/>
          <w:sz w:val="24"/>
        </w:rPr>
        <w:t>z  rozporządzenia Ministra Finansów.</w:t>
      </w:r>
      <w:r w:rsidRPr="00C17343">
        <w:rPr>
          <w:rFonts w:ascii="Times New Roman" w:eastAsia="Times New Roman" w:hAnsi="Times New Roman" w:cs="Times New Roman"/>
          <w:sz w:val="24"/>
        </w:rPr>
        <w:t xml:space="preserve"> Obowiązek uiszczenia kosztów upomnienia przez zobowiązanego powstaje z chwilą doręczenia upomnienia.</w:t>
      </w:r>
    </w:p>
    <w:p w14:paraId="5187A38F" w14:textId="77777777" w:rsidR="004F78B8" w:rsidRPr="00C17343" w:rsidRDefault="004F78B8" w:rsidP="007002AF">
      <w:pPr>
        <w:numPr>
          <w:ilvl w:val="0"/>
          <w:numId w:val="23"/>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 xml:space="preserve">Upomnienie w każdym przypadku wysyła się za pośrednictwem </w:t>
      </w:r>
      <w:r w:rsidRPr="00A97B9D">
        <w:rPr>
          <w:rFonts w:ascii="Times New Roman" w:eastAsia="Times New Roman" w:hAnsi="Times New Roman" w:cs="Times New Roman"/>
          <w:bCs/>
          <w:sz w:val="24"/>
        </w:rPr>
        <w:t>operatora pocztowego</w:t>
      </w:r>
      <w:r w:rsidR="00A97B9D" w:rsidRPr="00A97B9D">
        <w:rPr>
          <w:rFonts w:ascii="Times New Roman" w:eastAsia="Times New Roman" w:hAnsi="Times New Roman" w:cs="Times New Roman"/>
          <w:bCs/>
          <w:sz w:val="24"/>
        </w:rPr>
        <w:t xml:space="preserve"> Poczta Polska</w:t>
      </w:r>
      <w:r w:rsidRPr="00A97B9D">
        <w:rPr>
          <w:rFonts w:ascii="Times New Roman" w:eastAsia="Times New Roman" w:hAnsi="Times New Roman" w:cs="Times New Roman"/>
          <w:bCs/>
          <w:sz w:val="24"/>
        </w:rPr>
        <w:t>,</w:t>
      </w:r>
      <w:r w:rsidRPr="00C17343">
        <w:rPr>
          <w:rFonts w:ascii="Times New Roman" w:eastAsia="Times New Roman" w:hAnsi="Times New Roman" w:cs="Times New Roman"/>
          <w:sz w:val="24"/>
        </w:rPr>
        <w:t xml:space="preserve"> przesyłką poleconą, za potwierdzeniem odbioru, a dowód nadania dołącza się do akt sprawy. Potwierdzenie odbioru upomnienia, jako dowód nadania, przechowywany jest w DFK w aktach sprawy. Upomnienia nie wysyła się i nie podejmuje się czynności egzekucyjnych, jeżeli należność nie przekracza kosztów wysłania upomnienia listem poleconym za potwierdzeniem odbioru. W przypadku zaginięcia upomnienia lub braku dowodu doręczenia dłużnikowi, upomnienie wysyła się ponownie.</w:t>
      </w:r>
    </w:p>
    <w:p w14:paraId="5B9A8561" w14:textId="77777777" w:rsidR="004F78B8" w:rsidRPr="00C17343" w:rsidRDefault="004F78B8" w:rsidP="007002AF">
      <w:pPr>
        <w:numPr>
          <w:ilvl w:val="0"/>
          <w:numId w:val="23"/>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 xml:space="preserve">Upomnienia, które dotyczą należności niższych niż dziesięciokrotność kosztów upomnienia wystawiane są w okresach </w:t>
      </w:r>
      <w:r w:rsidRPr="00C17343">
        <w:rPr>
          <w:rStyle w:val="Odwoaniedokomentarza1"/>
          <w:rFonts w:ascii="Times New Roman" w:eastAsia="Times New Roman" w:hAnsi="Times New Roman" w:cs="Times New Roman"/>
          <w:sz w:val="24"/>
          <w:szCs w:val="24"/>
        </w:rPr>
        <w:t>co 3 miesiące.</w:t>
      </w:r>
    </w:p>
    <w:p w14:paraId="51FBD1AC" w14:textId="77777777" w:rsidR="003F7A0C" w:rsidRPr="003F7A0C" w:rsidRDefault="004F78B8" w:rsidP="003F7A0C">
      <w:pPr>
        <w:numPr>
          <w:ilvl w:val="0"/>
          <w:numId w:val="23"/>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Jednostka nie wszczyna  postępowania  egzekucyjnego,  jeżeli  istnieje  prawna</w:t>
      </w:r>
      <w:r w:rsidRPr="00C17343">
        <w:rPr>
          <w:rFonts w:ascii="Times New Roman" w:eastAsia="Times New Roman" w:hAnsi="Times New Roman" w:cs="Times New Roman"/>
          <w:sz w:val="24"/>
        </w:rPr>
        <w:br/>
        <w:t>i faktyczna możliwość ściągnięcia należności poprzez dokonanie potrąceń z bieżąco wypłacanych świadczeń, mając na uwadze instytucję przedawnienia.</w:t>
      </w:r>
    </w:p>
    <w:p w14:paraId="44A7A1DB" w14:textId="77777777" w:rsidR="004F78B8" w:rsidRPr="003F7A0C" w:rsidRDefault="004F78B8" w:rsidP="007002AF">
      <w:pPr>
        <w:numPr>
          <w:ilvl w:val="0"/>
          <w:numId w:val="23"/>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Należności wpłacane przez zobowiązanego zaliczane są w pierwszej kolejności na poczet kosztów egzekucyjnych, w tym kosztów upomnienia, a następnie na poczet należności głównej.</w:t>
      </w:r>
    </w:p>
    <w:p w14:paraId="6DF91763" w14:textId="77777777" w:rsidR="003F7A0C" w:rsidRDefault="003F7A0C" w:rsidP="003F7A0C">
      <w:pPr>
        <w:tabs>
          <w:tab w:val="left" w:pos="421"/>
        </w:tabs>
        <w:spacing w:line="360" w:lineRule="auto"/>
        <w:ind w:left="420"/>
        <w:jc w:val="both"/>
        <w:rPr>
          <w:rFonts w:ascii="Times New Roman" w:eastAsia="Times New Roman" w:hAnsi="Times New Roman" w:cs="Times New Roman"/>
          <w:sz w:val="24"/>
        </w:rPr>
      </w:pPr>
    </w:p>
    <w:p w14:paraId="08032016" w14:textId="77777777" w:rsidR="003F7A0C" w:rsidRDefault="003F7A0C" w:rsidP="003F7A0C">
      <w:pPr>
        <w:tabs>
          <w:tab w:val="left" w:pos="421"/>
        </w:tabs>
        <w:spacing w:line="360" w:lineRule="auto"/>
        <w:ind w:left="420"/>
        <w:jc w:val="both"/>
        <w:rPr>
          <w:rFonts w:ascii="Times New Roman" w:eastAsia="Times New Roman" w:hAnsi="Times New Roman" w:cs="Times New Roman"/>
          <w:sz w:val="24"/>
        </w:rPr>
      </w:pPr>
    </w:p>
    <w:p w14:paraId="7AF2ADDA" w14:textId="20F6CD09" w:rsidR="003F7A0C" w:rsidRDefault="003F7A0C" w:rsidP="003F7A0C">
      <w:pPr>
        <w:tabs>
          <w:tab w:val="left" w:pos="421"/>
        </w:tabs>
        <w:spacing w:line="360" w:lineRule="auto"/>
        <w:ind w:left="420"/>
        <w:jc w:val="both"/>
        <w:rPr>
          <w:rFonts w:ascii="Times New Roman" w:eastAsia="Times New Roman" w:hAnsi="Times New Roman" w:cs="Times New Roman"/>
          <w:sz w:val="24"/>
        </w:rPr>
      </w:pPr>
    </w:p>
    <w:p w14:paraId="3724854C" w14:textId="0F1A82D6" w:rsidR="00732782" w:rsidRDefault="00732782" w:rsidP="003F7A0C">
      <w:pPr>
        <w:tabs>
          <w:tab w:val="left" w:pos="421"/>
        </w:tabs>
        <w:spacing w:line="360" w:lineRule="auto"/>
        <w:ind w:left="420"/>
        <w:jc w:val="both"/>
        <w:rPr>
          <w:rFonts w:ascii="Times New Roman" w:eastAsia="Times New Roman" w:hAnsi="Times New Roman" w:cs="Times New Roman"/>
          <w:sz w:val="24"/>
        </w:rPr>
      </w:pPr>
    </w:p>
    <w:p w14:paraId="071A1780" w14:textId="77777777" w:rsidR="00732782" w:rsidRDefault="00732782" w:rsidP="003F7A0C">
      <w:pPr>
        <w:tabs>
          <w:tab w:val="left" w:pos="421"/>
        </w:tabs>
        <w:spacing w:line="360" w:lineRule="auto"/>
        <w:ind w:left="420"/>
        <w:jc w:val="both"/>
        <w:rPr>
          <w:rFonts w:ascii="Times New Roman" w:eastAsia="Times New Roman" w:hAnsi="Times New Roman" w:cs="Times New Roman"/>
          <w:sz w:val="24"/>
        </w:rPr>
      </w:pPr>
    </w:p>
    <w:p w14:paraId="4B04776F" w14:textId="77777777" w:rsidR="003F7A0C" w:rsidRPr="00C17343" w:rsidRDefault="003F7A0C" w:rsidP="003F7A0C">
      <w:pPr>
        <w:tabs>
          <w:tab w:val="left" w:pos="421"/>
        </w:tabs>
        <w:spacing w:line="360" w:lineRule="auto"/>
        <w:ind w:left="420"/>
        <w:jc w:val="both"/>
        <w:rPr>
          <w:rFonts w:ascii="Times New Roman" w:hAnsi="Times New Roman" w:cs="Times New Roman"/>
        </w:rPr>
      </w:pPr>
    </w:p>
    <w:p w14:paraId="0566C541" w14:textId="77777777" w:rsidR="004F78B8" w:rsidRPr="00C17343" w:rsidRDefault="004F78B8" w:rsidP="007002AF">
      <w:pPr>
        <w:numPr>
          <w:ilvl w:val="0"/>
          <w:numId w:val="23"/>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 xml:space="preserve">Niepodjęcie upomnienia przez adresata, które doręcza operator pocztowy </w:t>
      </w:r>
      <w:r w:rsidRPr="00A97B9D">
        <w:rPr>
          <w:rFonts w:ascii="Times New Roman" w:eastAsia="Times New Roman" w:hAnsi="Times New Roman" w:cs="Times New Roman"/>
          <w:bCs/>
          <w:sz w:val="24"/>
        </w:rPr>
        <w:t>Poczta Polska</w:t>
      </w:r>
      <w:r w:rsidRPr="00C17343">
        <w:rPr>
          <w:rFonts w:ascii="Times New Roman" w:eastAsia="Times New Roman" w:hAnsi="Times New Roman" w:cs="Times New Roman"/>
          <w:sz w:val="24"/>
        </w:rPr>
        <w:t xml:space="preserve"> uznaje się za dokonane po upływie</w:t>
      </w:r>
      <w:r w:rsidRPr="00C17343">
        <w:rPr>
          <w:rStyle w:val="Odwoaniedokomentarza1"/>
          <w:rFonts w:ascii="Times New Roman" w:eastAsia="Times New Roman" w:hAnsi="Times New Roman" w:cs="Times New Roman"/>
        </w:rPr>
        <w:t xml:space="preserve"> </w:t>
      </w:r>
      <w:r w:rsidRPr="00C17343">
        <w:rPr>
          <w:rStyle w:val="Odwoaniedokomentarza1"/>
          <w:rFonts w:ascii="Times New Roman" w:eastAsia="Times New Roman" w:hAnsi="Times New Roman" w:cs="Times New Roman"/>
          <w:sz w:val="24"/>
          <w:szCs w:val="24"/>
        </w:rPr>
        <w:t>terminu</w:t>
      </w:r>
      <w:r w:rsidRPr="00C17343">
        <w:rPr>
          <w:rFonts w:ascii="Times New Roman" w:eastAsia="Times New Roman" w:hAnsi="Times New Roman" w:cs="Times New Roman"/>
          <w:sz w:val="24"/>
          <w:szCs w:val="24"/>
        </w:rPr>
        <w:t xml:space="preserve"> </w:t>
      </w:r>
      <w:r w:rsidRPr="00C17343">
        <w:rPr>
          <w:rFonts w:ascii="Times New Roman" w:eastAsia="Times New Roman" w:hAnsi="Times New Roman" w:cs="Times New Roman"/>
          <w:sz w:val="24"/>
        </w:rPr>
        <w:t>dwóch zawiadomień odbioru. Pierwsze zawiadomienie</w:t>
      </w:r>
      <w:r w:rsidRPr="00C17343">
        <w:rPr>
          <w:rFonts w:ascii="Times New Roman" w:hAnsi="Times New Roman" w:cs="Times New Roman"/>
        </w:rPr>
        <w:t xml:space="preserve"> </w:t>
      </w:r>
      <w:r w:rsidRPr="00C17343">
        <w:rPr>
          <w:rFonts w:ascii="Times New Roman" w:eastAsia="Times New Roman" w:hAnsi="Times New Roman" w:cs="Times New Roman"/>
          <w:sz w:val="24"/>
        </w:rPr>
        <w:t>pozostaje do odbioru w terminie 7 dni od dnia awiza, drugie zawiadomienie w terminie 7 dni od dnia drugiego awiza.</w:t>
      </w:r>
    </w:p>
    <w:p w14:paraId="52A9FF9E" w14:textId="0A811391" w:rsidR="004F78B8" w:rsidRPr="00C17343" w:rsidRDefault="004F78B8" w:rsidP="007002AF">
      <w:pPr>
        <w:numPr>
          <w:ilvl w:val="0"/>
          <w:numId w:val="23"/>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W przypadku zwrotu nieodebranego upomnienia z adnotacją, o zmianie miejsca zamieszkania/pobytu adresata, pracownik księgowości przekazuje informację do działu merytorycznego.</w:t>
      </w:r>
      <w:r w:rsidRPr="00C17343">
        <w:rPr>
          <w:rFonts w:ascii="Times New Roman" w:hAnsi="Times New Roman" w:cs="Times New Roman"/>
        </w:rPr>
        <w:t xml:space="preserve"> </w:t>
      </w:r>
      <w:r w:rsidRPr="00C17343">
        <w:rPr>
          <w:rFonts w:ascii="Times New Roman" w:eastAsia="Times New Roman" w:hAnsi="Times New Roman" w:cs="Times New Roman"/>
          <w:sz w:val="24"/>
        </w:rPr>
        <w:t>Pracownicy działów merytorycznych jednostki wysyłają pisemne zapytanie do  Centrum  Personalizacji Dokumentów Ministerstwa  Spraw Wewnętrznych, w celu ustalenia</w:t>
      </w:r>
      <w:r w:rsidR="003A3FFB">
        <w:rPr>
          <w:rFonts w:ascii="Times New Roman" w:eastAsia="Times New Roman" w:hAnsi="Times New Roman" w:cs="Times New Roman"/>
          <w:sz w:val="24"/>
        </w:rPr>
        <w:t xml:space="preserve"> wyżej wymienionych </w:t>
      </w:r>
      <w:r w:rsidRPr="00C17343">
        <w:rPr>
          <w:rFonts w:ascii="Times New Roman" w:eastAsia="Times New Roman" w:hAnsi="Times New Roman" w:cs="Times New Roman"/>
          <w:sz w:val="24"/>
        </w:rPr>
        <w:t>danych.</w:t>
      </w:r>
    </w:p>
    <w:p w14:paraId="5EC0224B" w14:textId="77777777" w:rsidR="004F78B8" w:rsidRPr="00C17343" w:rsidRDefault="004F78B8" w:rsidP="007002AF">
      <w:pPr>
        <w:numPr>
          <w:ilvl w:val="0"/>
          <w:numId w:val="23"/>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W przypadku zwrotu nieodebranego upomnienia z adnotacją, że adresat nie żyje, pracownik działu merytorycznego występuje do właściwego urzędu o odpis aktu zgonu oraz ustala możliwości ich dochodzenia z masy spadkowej. Po okresie 6 miesięcy od zgonu zobowiązanego, należy wystąpić z zapytaniem do sądu czy toczyło się postępowanie o stwierdzenie nabycia spadku. Jeżeli kwota zaległości nie przekracza kwoty kosztów prowadzenia postępowania sądowego odstępuje się od przeniesienia zaległości na spadkobiercę. Jeżeli kwota zadłużenia przekroczy powyższą kwotę należy wszcząć procedurę windykacji należności od spadkobierców. Przypis należności następuje na podstawie prawomocnej decyzji. W przypadku braku wpłaty należy wszcząć w stosunku do spadkobiercy procedury postępowania egzekucji administracyjnej.</w:t>
      </w:r>
    </w:p>
    <w:p w14:paraId="0BF0858B" w14:textId="77777777" w:rsidR="004F78B8" w:rsidRPr="00C17343" w:rsidRDefault="00B15A09" w:rsidP="007002AF">
      <w:pPr>
        <w:numPr>
          <w:ilvl w:val="0"/>
          <w:numId w:val="23"/>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W przypadku śmierci osoby, która pobrała nienależnie świadczenia rodzinne, należności wygasają.</w:t>
      </w:r>
    </w:p>
    <w:p w14:paraId="253FE75C" w14:textId="77777777" w:rsidR="007002AF" w:rsidRPr="00C17343" w:rsidRDefault="007002AF" w:rsidP="007002AF">
      <w:pPr>
        <w:spacing w:line="281" w:lineRule="exact"/>
        <w:ind w:left="720"/>
        <w:jc w:val="center"/>
        <w:rPr>
          <w:rFonts w:ascii="Times New Roman" w:eastAsia="Times New Roman" w:hAnsi="Times New Roman" w:cs="Times New Roman"/>
          <w:sz w:val="24"/>
        </w:rPr>
      </w:pPr>
      <w:r w:rsidRPr="007002AF">
        <w:rPr>
          <w:rFonts w:ascii="Times New Roman" w:eastAsia="Times New Roman" w:hAnsi="Times New Roman" w:cs="Times New Roman"/>
          <w:sz w:val="24"/>
        </w:rPr>
        <w:t xml:space="preserve">§ </w:t>
      </w:r>
      <w:r>
        <w:rPr>
          <w:rFonts w:ascii="Times New Roman" w:eastAsia="Times New Roman" w:hAnsi="Times New Roman" w:cs="Times New Roman"/>
          <w:sz w:val="24"/>
        </w:rPr>
        <w:t>5</w:t>
      </w:r>
      <w:r w:rsidRPr="007002AF">
        <w:rPr>
          <w:rFonts w:ascii="Times New Roman" w:eastAsia="Times New Roman" w:hAnsi="Times New Roman" w:cs="Times New Roman"/>
          <w:sz w:val="24"/>
        </w:rPr>
        <w:t>.</w:t>
      </w:r>
    </w:p>
    <w:p w14:paraId="1F9B814D" w14:textId="77777777" w:rsidR="004F78B8" w:rsidRPr="00C17343" w:rsidRDefault="004F78B8">
      <w:pPr>
        <w:pStyle w:val="Akapitzlist"/>
        <w:jc w:val="both"/>
        <w:rPr>
          <w:rFonts w:ascii="Times New Roman" w:eastAsia="Times New Roman" w:hAnsi="Times New Roman" w:cs="Times New Roman"/>
          <w:b/>
          <w:sz w:val="24"/>
        </w:rPr>
      </w:pPr>
    </w:p>
    <w:p w14:paraId="2BBC2863" w14:textId="39828D03" w:rsidR="004F78B8" w:rsidRPr="00C17343" w:rsidRDefault="004F78B8" w:rsidP="003A3FFB">
      <w:pPr>
        <w:pStyle w:val="Akapitzlist"/>
        <w:numPr>
          <w:ilvl w:val="0"/>
          <w:numId w:val="17"/>
        </w:numPr>
        <w:spacing w:line="360" w:lineRule="auto"/>
        <w:ind w:left="340" w:hanging="340"/>
        <w:jc w:val="both"/>
        <w:rPr>
          <w:rFonts w:ascii="Times New Roman" w:hAnsi="Times New Roman" w:cs="Times New Roman"/>
        </w:rPr>
      </w:pPr>
      <w:bookmarkStart w:id="2" w:name="_Hlk57713183"/>
      <w:r w:rsidRPr="00C17343">
        <w:rPr>
          <w:rFonts w:ascii="Times New Roman" w:eastAsia="Times New Roman" w:hAnsi="Times New Roman" w:cs="Times New Roman"/>
          <w:sz w:val="24"/>
        </w:rPr>
        <w:t xml:space="preserve">Po bezskutecznym upływie terminu zapłaty </w:t>
      </w:r>
      <w:r w:rsidR="003A3FFB">
        <w:rPr>
          <w:rFonts w:ascii="Times New Roman" w:eastAsia="Times New Roman" w:hAnsi="Times New Roman" w:cs="Times New Roman"/>
          <w:sz w:val="24"/>
        </w:rPr>
        <w:t xml:space="preserve">wskazanego w upomnieniu, </w:t>
      </w:r>
      <w:r w:rsidRPr="00C17343">
        <w:rPr>
          <w:rFonts w:ascii="Times New Roman" w:eastAsia="Times New Roman" w:hAnsi="Times New Roman" w:cs="Times New Roman"/>
          <w:sz w:val="24"/>
        </w:rPr>
        <w:t>DFK wystawia  tytuł wykonawczy stosowany w egzekucji należności pieniężnych zgodnie</w:t>
      </w:r>
      <w:r w:rsidRPr="00C17343">
        <w:rPr>
          <w:rFonts w:ascii="Times New Roman" w:eastAsia="Times New Roman" w:hAnsi="Times New Roman" w:cs="Times New Roman"/>
          <w:sz w:val="24"/>
        </w:rPr>
        <w:br/>
        <w:t xml:space="preserve">z </w:t>
      </w:r>
      <w:r w:rsidR="003A3FFB">
        <w:rPr>
          <w:rFonts w:ascii="Times New Roman" w:eastAsia="Times New Roman" w:hAnsi="Times New Roman" w:cs="Times New Roman"/>
          <w:sz w:val="24"/>
        </w:rPr>
        <w:t>r</w:t>
      </w:r>
      <w:r w:rsidRPr="00C17343">
        <w:rPr>
          <w:rFonts w:ascii="Times New Roman" w:eastAsia="Times New Roman" w:hAnsi="Times New Roman" w:cs="Times New Roman"/>
          <w:sz w:val="24"/>
        </w:rPr>
        <w:t>ozporządzeniem Ministra Finansów z dnia 25 maja 2020 r. w sprawie wzorów tytułów wykonawczych stosowanych  w egzekucji administracyjnej</w:t>
      </w:r>
      <w:r w:rsidR="00732782">
        <w:rPr>
          <w:rFonts w:ascii="Times New Roman" w:eastAsia="Times New Roman" w:hAnsi="Times New Roman" w:cs="Times New Roman"/>
          <w:sz w:val="24"/>
        </w:rPr>
        <w:t>.</w:t>
      </w:r>
    </w:p>
    <w:bookmarkEnd w:id="2"/>
    <w:p w14:paraId="6C662764" w14:textId="77777777" w:rsidR="004F78B8" w:rsidRPr="003F7A0C" w:rsidRDefault="004F78B8" w:rsidP="003A3FFB">
      <w:pPr>
        <w:pStyle w:val="Akapitzlist"/>
        <w:numPr>
          <w:ilvl w:val="0"/>
          <w:numId w:val="17"/>
        </w:numPr>
        <w:spacing w:line="360" w:lineRule="auto"/>
        <w:ind w:left="340" w:hanging="340"/>
        <w:jc w:val="both"/>
        <w:rPr>
          <w:rFonts w:ascii="Times New Roman" w:hAnsi="Times New Roman" w:cs="Times New Roman"/>
        </w:rPr>
      </w:pPr>
      <w:r w:rsidRPr="00C17343">
        <w:rPr>
          <w:rFonts w:ascii="Times New Roman" w:eastAsia="Times New Roman" w:hAnsi="Times New Roman" w:cs="Times New Roman"/>
          <w:sz w:val="24"/>
        </w:rPr>
        <w:t>Pracownik DFK prowadzi ewidencje tytułów wykonawczych, do której wpisuje m.in. kolejny numer tytułu wykonawczego. Wzór ewidencji tytułów wykonawczych stanowi załącznik nr 4.</w:t>
      </w:r>
    </w:p>
    <w:p w14:paraId="260227D5" w14:textId="77777777" w:rsidR="003F7A0C" w:rsidRDefault="003F7A0C" w:rsidP="003F7A0C">
      <w:pPr>
        <w:pStyle w:val="Akapitzlist"/>
        <w:spacing w:line="360" w:lineRule="auto"/>
        <w:jc w:val="both"/>
        <w:rPr>
          <w:rFonts w:ascii="Times New Roman" w:eastAsia="Times New Roman" w:hAnsi="Times New Roman" w:cs="Times New Roman"/>
          <w:sz w:val="24"/>
        </w:rPr>
      </w:pPr>
    </w:p>
    <w:p w14:paraId="3BBEDDA3" w14:textId="77777777" w:rsidR="003F7A0C" w:rsidRDefault="003F7A0C" w:rsidP="003F7A0C">
      <w:pPr>
        <w:pStyle w:val="Akapitzlist"/>
        <w:spacing w:line="360" w:lineRule="auto"/>
        <w:jc w:val="both"/>
        <w:rPr>
          <w:rFonts w:ascii="Times New Roman" w:eastAsia="Times New Roman" w:hAnsi="Times New Roman" w:cs="Times New Roman"/>
          <w:sz w:val="24"/>
        </w:rPr>
      </w:pPr>
    </w:p>
    <w:p w14:paraId="24498617" w14:textId="15A6FB5E" w:rsidR="003F7A0C" w:rsidRDefault="003F7A0C" w:rsidP="003F7A0C">
      <w:pPr>
        <w:pStyle w:val="Akapitzlist"/>
        <w:spacing w:line="360" w:lineRule="auto"/>
        <w:jc w:val="both"/>
        <w:rPr>
          <w:rFonts w:ascii="Times New Roman" w:hAnsi="Times New Roman" w:cs="Times New Roman"/>
        </w:rPr>
      </w:pPr>
    </w:p>
    <w:p w14:paraId="42060B95" w14:textId="7CF72313" w:rsidR="00AC0687" w:rsidRDefault="00AC0687" w:rsidP="003F7A0C">
      <w:pPr>
        <w:pStyle w:val="Akapitzlist"/>
        <w:spacing w:line="360" w:lineRule="auto"/>
        <w:jc w:val="both"/>
        <w:rPr>
          <w:rFonts w:ascii="Times New Roman" w:hAnsi="Times New Roman" w:cs="Times New Roman"/>
        </w:rPr>
      </w:pPr>
    </w:p>
    <w:p w14:paraId="5F37416B" w14:textId="77777777" w:rsidR="00AC0687" w:rsidRPr="00C17343" w:rsidRDefault="00AC0687" w:rsidP="003F7A0C">
      <w:pPr>
        <w:pStyle w:val="Akapitzlist"/>
        <w:spacing w:line="360" w:lineRule="auto"/>
        <w:jc w:val="both"/>
        <w:rPr>
          <w:rFonts w:ascii="Times New Roman" w:hAnsi="Times New Roman" w:cs="Times New Roman"/>
        </w:rPr>
      </w:pPr>
    </w:p>
    <w:p w14:paraId="33A9EBF6" w14:textId="77777777" w:rsidR="004F78B8" w:rsidRPr="00C17343" w:rsidRDefault="004F78B8" w:rsidP="003A3FFB">
      <w:pPr>
        <w:pStyle w:val="Akapitzlist"/>
        <w:numPr>
          <w:ilvl w:val="0"/>
          <w:numId w:val="17"/>
        </w:numPr>
        <w:spacing w:line="360" w:lineRule="auto"/>
        <w:ind w:left="340" w:hanging="340"/>
        <w:jc w:val="both"/>
        <w:rPr>
          <w:rFonts w:ascii="Times New Roman" w:hAnsi="Times New Roman" w:cs="Times New Roman"/>
        </w:rPr>
      </w:pPr>
      <w:r w:rsidRPr="00C17343">
        <w:rPr>
          <w:rFonts w:ascii="Times New Roman" w:eastAsia="Times New Roman" w:hAnsi="Times New Roman" w:cs="Times New Roman"/>
          <w:sz w:val="24"/>
        </w:rPr>
        <w:t xml:space="preserve">Tytuł wykonawczy sporządza się </w:t>
      </w:r>
      <w:r w:rsidRPr="00FB7596">
        <w:rPr>
          <w:rFonts w:ascii="Times New Roman" w:eastAsia="Times New Roman" w:hAnsi="Times New Roman" w:cs="Times New Roman"/>
          <w:bCs/>
          <w:sz w:val="24"/>
        </w:rPr>
        <w:t>w formacie XML</w:t>
      </w:r>
      <w:r w:rsidRPr="00C17343">
        <w:rPr>
          <w:rFonts w:ascii="Times New Roman" w:eastAsia="Times New Roman" w:hAnsi="Times New Roman" w:cs="Times New Roman"/>
          <w:sz w:val="24"/>
        </w:rPr>
        <w:t xml:space="preserve"> w postaci elektronicznej.</w:t>
      </w:r>
    </w:p>
    <w:p w14:paraId="18CDFA69" w14:textId="77777777" w:rsidR="004F78B8" w:rsidRPr="00281F66" w:rsidRDefault="004F78B8" w:rsidP="003A3FFB">
      <w:pPr>
        <w:pStyle w:val="Akapitzlist"/>
        <w:numPr>
          <w:ilvl w:val="0"/>
          <w:numId w:val="17"/>
        </w:numPr>
        <w:spacing w:line="360" w:lineRule="auto"/>
        <w:ind w:left="340" w:hanging="340"/>
        <w:jc w:val="both"/>
        <w:rPr>
          <w:rFonts w:ascii="Times New Roman" w:hAnsi="Times New Roman" w:cs="Times New Roman"/>
        </w:rPr>
      </w:pPr>
      <w:r w:rsidRPr="00C17343">
        <w:rPr>
          <w:rFonts w:ascii="Times New Roman" w:eastAsia="Times New Roman" w:hAnsi="Times New Roman" w:cs="Times New Roman"/>
          <w:sz w:val="24"/>
        </w:rPr>
        <w:t>Tytuł egzekucyjny przekazywany jest do organu egzekuc</w:t>
      </w:r>
      <w:r w:rsidR="003A3FFB">
        <w:rPr>
          <w:rFonts w:ascii="Times New Roman" w:eastAsia="Times New Roman" w:hAnsi="Times New Roman" w:cs="Times New Roman"/>
          <w:sz w:val="24"/>
        </w:rPr>
        <w:t>yjnego zgodnie</w:t>
      </w:r>
      <w:r w:rsidR="003A3FFB">
        <w:rPr>
          <w:rFonts w:ascii="Times New Roman" w:eastAsia="Times New Roman" w:hAnsi="Times New Roman" w:cs="Times New Roman"/>
          <w:sz w:val="24"/>
        </w:rPr>
        <w:br/>
        <w:t>z r</w:t>
      </w:r>
      <w:r w:rsidRPr="00C17343">
        <w:rPr>
          <w:rFonts w:ascii="Times New Roman" w:eastAsia="Times New Roman" w:hAnsi="Times New Roman" w:cs="Times New Roman"/>
          <w:sz w:val="24"/>
        </w:rPr>
        <w:t xml:space="preserve">ozporządzeniem  Ministra Finansów  z  dnia 24 lipca 2020  r. w  sprawie przekazania tytułu egzekucyjnego i innych dokumentów do organu egzekucyjnego </w:t>
      </w:r>
      <w:r w:rsidRPr="00281F66">
        <w:rPr>
          <w:rFonts w:ascii="Times New Roman" w:eastAsia="Times New Roman" w:hAnsi="Times New Roman" w:cs="Times New Roman"/>
          <w:sz w:val="24"/>
        </w:rPr>
        <w:t>(Dz. U. z 2020 poz.1310)</w:t>
      </w:r>
      <w:r w:rsidR="00863ABC" w:rsidRPr="00281F66">
        <w:rPr>
          <w:rFonts w:ascii="Times New Roman" w:eastAsia="Times New Roman" w:hAnsi="Times New Roman" w:cs="Times New Roman"/>
          <w:sz w:val="24"/>
        </w:rPr>
        <w:t>.</w:t>
      </w:r>
    </w:p>
    <w:p w14:paraId="310C50E8" w14:textId="77777777" w:rsidR="003A3FFB" w:rsidRPr="003F7A0C" w:rsidRDefault="004F78B8" w:rsidP="003F7A0C">
      <w:pPr>
        <w:pStyle w:val="Akapitzlist"/>
        <w:numPr>
          <w:ilvl w:val="0"/>
          <w:numId w:val="17"/>
        </w:numPr>
        <w:spacing w:line="360" w:lineRule="auto"/>
        <w:ind w:left="340" w:hanging="340"/>
        <w:jc w:val="both"/>
        <w:rPr>
          <w:rFonts w:ascii="Times New Roman" w:hAnsi="Times New Roman" w:cs="Times New Roman"/>
        </w:rPr>
      </w:pPr>
      <w:r w:rsidRPr="00C17343">
        <w:rPr>
          <w:rFonts w:ascii="Times New Roman" w:eastAsia="Times New Roman" w:hAnsi="Times New Roman" w:cs="Times New Roman"/>
          <w:sz w:val="24"/>
        </w:rPr>
        <w:t xml:space="preserve">Niezwłocznie po skierowaniu tytułu wykonawczego do organu egzekucyjnego, DFK informuje </w:t>
      </w:r>
      <w:r w:rsidRPr="00A97B9D">
        <w:rPr>
          <w:rFonts w:ascii="Times New Roman" w:eastAsia="Times New Roman" w:hAnsi="Times New Roman" w:cs="Times New Roman"/>
          <w:bCs/>
          <w:sz w:val="24"/>
        </w:rPr>
        <w:t>właściwą komórkę organizacyjną</w:t>
      </w:r>
      <w:r w:rsidRPr="00C17343">
        <w:rPr>
          <w:rFonts w:ascii="Times New Roman" w:eastAsia="Times New Roman" w:hAnsi="Times New Roman" w:cs="Times New Roman"/>
          <w:sz w:val="24"/>
        </w:rPr>
        <w:t xml:space="preserve"> o powyższej czynności.</w:t>
      </w:r>
      <w:r w:rsidR="00863ABC" w:rsidRPr="00C17343">
        <w:rPr>
          <w:rFonts w:ascii="Times New Roman" w:eastAsia="Times New Roman" w:hAnsi="Times New Roman" w:cs="Times New Roman"/>
          <w:sz w:val="24"/>
        </w:rPr>
        <w:t xml:space="preserve"> </w:t>
      </w:r>
      <w:r w:rsidRPr="00C17343">
        <w:rPr>
          <w:rFonts w:ascii="Times New Roman" w:eastAsia="Times New Roman" w:hAnsi="Times New Roman" w:cs="Times New Roman"/>
          <w:sz w:val="24"/>
        </w:rPr>
        <w:t>Jeden egzemplarz tytułu wykonawczego przechowywany jest w DFK w aktach sprawy</w:t>
      </w:r>
      <w:r w:rsidR="003A3FFB">
        <w:rPr>
          <w:rFonts w:ascii="Times New Roman" w:eastAsia="Times New Roman" w:hAnsi="Times New Roman" w:cs="Times New Roman"/>
          <w:sz w:val="24"/>
        </w:rPr>
        <w:t>.</w:t>
      </w:r>
    </w:p>
    <w:p w14:paraId="4088A80D" w14:textId="77777777" w:rsidR="003A3FFB" w:rsidRPr="003A3FFB" w:rsidRDefault="003A3FFB" w:rsidP="003A3FFB">
      <w:pPr>
        <w:tabs>
          <w:tab w:val="left" w:pos="4561"/>
        </w:tabs>
        <w:spacing w:line="0" w:lineRule="atLeast"/>
        <w:ind w:left="4561"/>
        <w:jc w:val="both"/>
        <w:rPr>
          <w:rFonts w:ascii="Times New Roman" w:hAnsi="Times New Roman" w:cs="Times New Roman"/>
        </w:rPr>
      </w:pPr>
    </w:p>
    <w:p w14:paraId="55A3D768" w14:textId="77777777" w:rsidR="004F78B8" w:rsidRPr="00BD39CE" w:rsidRDefault="004F78B8">
      <w:pPr>
        <w:numPr>
          <w:ilvl w:val="2"/>
          <w:numId w:val="10"/>
        </w:numPr>
        <w:tabs>
          <w:tab w:val="left" w:pos="4561"/>
        </w:tabs>
        <w:spacing w:line="0" w:lineRule="atLeast"/>
        <w:ind w:left="4561" w:hanging="176"/>
        <w:jc w:val="both"/>
        <w:rPr>
          <w:rFonts w:ascii="Times New Roman" w:hAnsi="Times New Roman" w:cs="Times New Roman"/>
        </w:rPr>
      </w:pPr>
      <w:r w:rsidRPr="00BD39CE">
        <w:rPr>
          <w:rFonts w:ascii="Times New Roman" w:eastAsia="Times New Roman" w:hAnsi="Times New Roman" w:cs="Times New Roman"/>
          <w:sz w:val="24"/>
        </w:rPr>
        <w:t>6</w:t>
      </w:r>
      <w:r w:rsidR="00BD39CE">
        <w:rPr>
          <w:rFonts w:ascii="Times New Roman" w:eastAsia="Times New Roman" w:hAnsi="Times New Roman" w:cs="Times New Roman"/>
          <w:sz w:val="24"/>
        </w:rPr>
        <w:t>.</w:t>
      </w:r>
    </w:p>
    <w:p w14:paraId="098BA513" w14:textId="77777777" w:rsidR="004F78B8" w:rsidRPr="00C17343" w:rsidRDefault="004F78B8">
      <w:pPr>
        <w:spacing w:line="283" w:lineRule="exact"/>
        <w:jc w:val="both"/>
        <w:rPr>
          <w:rFonts w:ascii="Times New Roman" w:eastAsia="Times New Roman" w:hAnsi="Times New Roman" w:cs="Times New Roman"/>
          <w:b/>
          <w:sz w:val="24"/>
        </w:rPr>
      </w:pPr>
    </w:p>
    <w:p w14:paraId="4D4879C8" w14:textId="77777777" w:rsidR="004F78B8" w:rsidRPr="003A3FFB" w:rsidRDefault="004F78B8" w:rsidP="003A3FFB">
      <w:pPr>
        <w:numPr>
          <w:ilvl w:val="0"/>
          <w:numId w:val="21"/>
        </w:numPr>
        <w:spacing w:line="360" w:lineRule="auto"/>
        <w:ind w:left="357" w:hanging="357"/>
        <w:jc w:val="both"/>
        <w:rPr>
          <w:rFonts w:ascii="Times New Roman" w:hAnsi="Times New Roman" w:cs="Times New Roman"/>
          <w:sz w:val="24"/>
          <w:szCs w:val="24"/>
        </w:rPr>
      </w:pPr>
      <w:r w:rsidRPr="003A3FFB">
        <w:rPr>
          <w:rFonts w:ascii="Times New Roman" w:hAnsi="Times New Roman" w:cs="Times New Roman"/>
          <w:sz w:val="24"/>
          <w:szCs w:val="24"/>
        </w:rPr>
        <w:t>Na wniosek pracownika lub osoby zainteresowanej</w:t>
      </w:r>
      <w:r w:rsidR="00BD39CE">
        <w:rPr>
          <w:rFonts w:ascii="Times New Roman" w:hAnsi="Times New Roman" w:cs="Times New Roman"/>
          <w:sz w:val="24"/>
          <w:szCs w:val="24"/>
        </w:rPr>
        <w:t xml:space="preserve">, </w:t>
      </w:r>
      <w:r w:rsidRPr="003A3FFB">
        <w:rPr>
          <w:rFonts w:ascii="Times New Roman" w:hAnsi="Times New Roman" w:cs="Times New Roman"/>
          <w:sz w:val="24"/>
          <w:szCs w:val="24"/>
        </w:rPr>
        <w:t>t</w:t>
      </w:r>
      <w:r w:rsidR="003A3FFB">
        <w:rPr>
          <w:rFonts w:ascii="Times New Roman" w:hAnsi="Times New Roman" w:cs="Times New Roman"/>
          <w:sz w:val="24"/>
          <w:szCs w:val="24"/>
        </w:rPr>
        <w:t>.</w:t>
      </w:r>
      <w:r w:rsidRPr="003A3FFB">
        <w:rPr>
          <w:rFonts w:ascii="Times New Roman" w:hAnsi="Times New Roman" w:cs="Times New Roman"/>
          <w:sz w:val="24"/>
          <w:szCs w:val="24"/>
        </w:rPr>
        <w:t xml:space="preserve">j. dłużnika w przypadkach szczególnie uzasadnionych zwłaszcza jeżeli żądanie zwrotu wydatków na udzielone świadczenie, z tytułu opłat określonych w ustawie o pomocy społecznej oraz z tytułu nienależnie pobranych świadczeń w całości lub w części stanowiłoby dla osoby zobowiązanej nadmierne obciążenie lub też niweczyłoby skutki udzielanej pomocy Dyrektor </w:t>
      </w:r>
      <w:r w:rsidR="00BD39CE" w:rsidRPr="00A97B9D">
        <w:rPr>
          <w:rFonts w:ascii="Times New Roman" w:hAnsi="Times New Roman" w:cs="Times New Roman"/>
          <w:bCs/>
          <w:sz w:val="24"/>
          <w:szCs w:val="24"/>
        </w:rPr>
        <w:t>MOPS</w:t>
      </w:r>
      <w:r w:rsidR="00BD39CE">
        <w:rPr>
          <w:rFonts w:ascii="Times New Roman" w:hAnsi="Times New Roman" w:cs="Times New Roman"/>
          <w:sz w:val="24"/>
          <w:szCs w:val="24"/>
        </w:rPr>
        <w:t xml:space="preserve"> </w:t>
      </w:r>
      <w:r w:rsidRPr="003A3FFB">
        <w:rPr>
          <w:rFonts w:ascii="Times New Roman" w:hAnsi="Times New Roman" w:cs="Times New Roman"/>
          <w:sz w:val="24"/>
          <w:szCs w:val="24"/>
        </w:rPr>
        <w:t>może odstąpić od żądania zwrotu należności, umorzyć kwotę należności, odroczyć termin płatności lub rozłożyć należność na raty. Wniosek kierowany jest do Dyrektora MOPS w Sopocie. Po rozpatrzeniu i zakończeniu postępowania wydana jest decyzja administracyjna, która przekazana jest do DFK.</w:t>
      </w:r>
    </w:p>
    <w:p w14:paraId="7074CA1D" w14:textId="77777777" w:rsidR="004F78B8" w:rsidRPr="00BD39CE" w:rsidRDefault="004F78B8" w:rsidP="003A3FFB">
      <w:pPr>
        <w:numPr>
          <w:ilvl w:val="0"/>
          <w:numId w:val="21"/>
        </w:numPr>
        <w:tabs>
          <w:tab w:val="left" w:pos="421"/>
        </w:tabs>
        <w:spacing w:line="360" w:lineRule="auto"/>
        <w:ind w:left="357" w:hanging="357"/>
        <w:jc w:val="both"/>
        <w:rPr>
          <w:rFonts w:ascii="Times New Roman" w:hAnsi="Times New Roman" w:cs="Times New Roman"/>
          <w:sz w:val="24"/>
          <w:szCs w:val="24"/>
        </w:rPr>
      </w:pPr>
      <w:r w:rsidRPr="003A3FFB">
        <w:rPr>
          <w:rFonts w:ascii="Times New Roman" w:eastAsia="Times New Roman" w:hAnsi="Times New Roman" w:cs="Times New Roman"/>
          <w:sz w:val="24"/>
          <w:szCs w:val="24"/>
        </w:rPr>
        <w:t>W przypadku wszczętej egzekucji administracyjnej, DFK przesyła informację</w:t>
      </w:r>
      <w:r w:rsidRPr="003A3FFB">
        <w:rPr>
          <w:rFonts w:ascii="Times New Roman" w:eastAsia="Times New Roman" w:hAnsi="Times New Roman" w:cs="Times New Roman"/>
          <w:sz w:val="24"/>
          <w:szCs w:val="24"/>
        </w:rPr>
        <w:br/>
        <w:t>o udzielonej uldze do organu egzekucyjnego, w szczególności o:</w:t>
      </w:r>
    </w:p>
    <w:p w14:paraId="4B7AC048" w14:textId="77777777" w:rsidR="00BD39CE" w:rsidRPr="00BD39CE" w:rsidRDefault="004F78B8" w:rsidP="00BD39CE">
      <w:pPr>
        <w:numPr>
          <w:ilvl w:val="0"/>
          <w:numId w:val="22"/>
        </w:numPr>
        <w:tabs>
          <w:tab w:val="left" w:pos="709"/>
        </w:tabs>
        <w:spacing w:line="360" w:lineRule="auto"/>
        <w:ind w:left="357" w:firstLine="0"/>
        <w:jc w:val="both"/>
        <w:rPr>
          <w:rFonts w:ascii="Times New Roman" w:hAnsi="Times New Roman" w:cs="Times New Roman"/>
          <w:sz w:val="24"/>
          <w:szCs w:val="24"/>
        </w:rPr>
      </w:pPr>
      <w:r w:rsidRPr="00BD39CE">
        <w:rPr>
          <w:rFonts w:ascii="Times New Roman" w:eastAsia="Times New Roman" w:hAnsi="Times New Roman" w:cs="Times New Roman"/>
          <w:sz w:val="24"/>
          <w:szCs w:val="24"/>
        </w:rPr>
        <w:t xml:space="preserve">zmianie wysokości należności objętej tytułem wykonawczym wynikającej z jej </w:t>
      </w:r>
    </w:p>
    <w:p w14:paraId="3F2F6CD6" w14:textId="77777777" w:rsidR="004F78B8" w:rsidRPr="00BD39CE" w:rsidRDefault="00BD39CE" w:rsidP="00BD39CE">
      <w:pPr>
        <w:tabs>
          <w:tab w:val="left" w:pos="42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F78B8" w:rsidRPr="00BD39CE">
        <w:rPr>
          <w:rFonts w:ascii="Times New Roman" w:eastAsia="Times New Roman" w:hAnsi="Times New Roman" w:cs="Times New Roman"/>
          <w:sz w:val="24"/>
          <w:szCs w:val="24"/>
        </w:rPr>
        <w:t>umorzenia, ro</w:t>
      </w:r>
      <w:r>
        <w:rPr>
          <w:rFonts w:ascii="Times New Roman" w:eastAsia="Times New Roman" w:hAnsi="Times New Roman" w:cs="Times New Roman"/>
          <w:sz w:val="24"/>
          <w:szCs w:val="24"/>
        </w:rPr>
        <w:t>złożenia na raty lub odroczenia;</w:t>
      </w:r>
    </w:p>
    <w:p w14:paraId="196F300D" w14:textId="77777777" w:rsidR="004F78B8" w:rsidRPr="00BD39CE" w:rsidRDefault="004F78B8" w:rsidP="003A3FFB">
      <w:pPr>
        <w:numPr>
          <w:ilvl w:val="0"/>
          <w:numId w:val="22"/>
        </w:numPr>
        <w:tabs>
          <w:tab w:val="left" w:pos="709"/>
        </w:tabs>
        <w:spacing w:line="360" w:lineRule="auto"/>
        <w:ind w:left="357" w:firstLine="0"/>
        <w:jc w:val="both"/>
        <w:rPr>
          <w:rFonts w:ascii="Times New Roman" w:hAnsi="Times New Roman" w:cs="Times New Roman"/>
          <w:sz w:val="24"/>
          <w:szCs w:val="24"/>
        </w:rPr>
      </w:pPr>
      <w:r w:rsidRPr="00BD39CE">
        <w:rPr>
          <w:rFonts w:ascii="Times New Roman" w:eastAsia="Times New Roman" w:hAnsi="Times New Roman" w:cs="Times New Roman"/>
          <w:sz w:val="24"/>
          <w:szCs w:val="24"/>
        </w:rPr>
        <w:t>zmianie stanu należności objętej tytułem wykonawczym wynikającej z jej spłaty</w:t>
      </w:r>
      <w:r w:rsidRPr="00BD39CE">
        <w:rPr>
          <w:rFonts w:ascii="Times New Roman" w:eastAsia="Times New Roman" w:hAnsi="Times New Roman" w:cs="Times New Roman"/>
          <w:sz w:val="24"/>
          <w:szCs w:val="24"/>
        </w:rPr>
        <w:br/>
      </w:r>
      <w:r w:rsidR="00BD39CE">
        <w:rPr>
          <w:rFonts w:ascii="Times New Roman" w:eastAsia="Times New Roman" w:hAnsi="Times New Roman" w:cs="Times New Roman"/>
          <w:sz w:val="24"/>
          <w:szCs w:val="24"/>
        </w:rPr>
        <w:t xml:space="preserve">      </w:t>
      </w:r>
      <w:r w:rsidRPr="00BD39CE">
        <w:rPr>
          <w:rFonts w:ascii="Times New Roman" w:eastAsia="Times New Roman" w:hAnsi="Times New Roman" w:cs="Times New Roman"/>
          <w:sz w:val="24"/>
          <w:szCs w:val="24"/>
        </w:rPr>
        <w:t>w całości lub w części.</w:t>
      </w:r>
    </w:p>
    <w:p w14:paraId="59932230" w14:textId="77777777" w:rsidR="004F78B8" w:rsidRPr="003F7A0C" w:rsidRDefault="004F78B8" w:rsidP="003F7A0C">
      <w:pPr>
        <w:numPr>
          <w:ilvl w:val="0"/>
          <w:numId w:val="21"/>
        </w:numPr>
        <w:tabs>
          <w:tab w:val="left" w:pos="421"/>
        </w:tabs>
        <w:spacing w:line="360" w:lineRule="auto"/>
        <w:ind w:left="357" w:hanging="357"/>
        <w:jc w:val="both"/>
        <w:rPr>
          <w:rFonts w:ascii="Times New Roman" w:hAnsi="Times New Roman" w:cs="Times New Roman"/>
          <w:sz w:val="24"/>
          <w:szCs w:val="24"/>
        </w:rPr>
      </w:pPr>
      <w:r w:rsidRPr="00BD39CE">
        <w:rPr>
          <w:rFonts w:ascii="Times New Roman" w:eastAsia="Times New Roman" w:hAnsi="Times New Roman" w:cs="Times New Roman"/>
          <w:sz w:val="24"/>
          <w:szCs w:val="24"/>
        </w:rPr>
        <w:t>W zaktualizowanym tytule wykonawczym wykazuje się kwotę zaległej należności pieniężnej według stanu na dzień jego aktualizacji.</w:t>
      </w:r>
    </w:p>
    <w:p w14:paraId="7C935F81" w14:textId="77777777" w:rsidR="004F78B8" w:rsidRPr="00C17343" w:rsidRDefault="004F78B8" w:rsidP="003F7A0C">
      <w:pPr>
        <w:tabs>
          <w:tab w:val="left" w:pos="4561"/>
        </w:tabs>
        <w:spacing w:line="0" w:lineRule="atLeast"/>
        <w:ind w:left="4561"/>
        <w:jc w:val="both"/>
        <w:rPr>
          <w:rFonts w:ascii="Times New Roman" w:hAnsi="Times New Roman" w:cs="Times New Roman"/>
        </w:rPr>
      </w:pPr>
      <w:bookmarkStart w:id="3" w:name="_Hlk51151232"/>
      <w:r w:rsidRPr="00C17343">
        <w:rPr>
          <w:rFonts w:ascii="Times New Roman" w:eastAsia="Times New Roman" w:hAnsi="Times New Roman" w:cs="Times New Roman"/>
          <w:b/>
          <w:sz w:val="24"/>
        </w:rPr>
        <w:t>7</w:t>
      </w:r>
      <w:r w:rsidR="00BD39CE">
        <w:rPr>
          <w:rFonts w:ascii="Times New Roman" w:eastAsia="Times New Roman" w:hAnsi="Times New Roman" w:cs="Times New Roman"/>
          <w:b/>
          <w:sz w:val="24"/>
        </w:rPr>
        <w:t>.</w:t>
      </w:r>
    </w:p>
    <w:bookmarkEnd w:id="3"/>
    <w:p w14:paraId="3CC3D06C" w14:textId="77777777" w:rsidR="004F78B8" w:rsidRPr="00C17343" w:rsidRDefault="004F78B8">
      <w:pPr>
        <w:spacing w:line="283" w:lineRule="exact"/>
        <w:jc w:val="both"/>
        <w:rPr>
          <w:rFonts w:ascii="Times New Roman" w:eastAsia="Times New Roman" w:hAnsi="Times New Roman" w:cs="Times New Roman"/>
          <w:b/>
          <w:sz w:val="24"/>
        </w:rPr>
      </w:pPr>
    </w:p>
    <w:p w14:paraId="3F1FA31D" w14:textId="77777777" w:rsidR="004F78B8" w:rsidRPr="003F7A0C" w:rsidRDefault="004F78B8" w:rsidP="00BD39CE">
      <w:pPr>
        <w:numPr>
          <w:ilvl w:val="0"/>
          <w:numId w:val="10"/>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 xml:space="preserve">W przypadku otrzymania z organu egzekucyjnego postanowienia o umorzeniu postępowania, </w:t>
      </w:r>
      <w:r w:rsidRPr="00A97B9D">
        <w:rPr>
          <w:rFonts w:ascii="Times New Roman" w:eastAsia="Times New Roman" w:hAnsi="Times New Roman" w:cs="Times New Roman"/>
          <w:bCs/>
          <w:sz w:val="24"/>
        </w:rPr>
        <w:t>właściwa komórka organizacyjna</w:t>
      </w:r>
      <w:r w:rsidRPr="00C17343">
        <w:rPr>
          <w:rFonts w:ascii="Times New Roman" w:eastAsia="Times New Roman" w:hAnsi="Times New Roman" w:cs="Times New Roman"/>
          <w:sz w:val="24"/>
        </w:rPr>
        <w:t xml:space="preserve"> we współpracy z radcą prawnym:</w:t>
      </w:r>
    </w:p>
    <w:p w14:paraId="3BC16E3F" w14:textId="77777777" w:rsidR="003F7A0C" w:rsidRDefault="003F7A0C" w:rsidP="003F7A0C">
      <w:pPr>
        <w:tabs>
          <w:tab w:val="left" w:pos="421"/>
        </w:tabs>
        <w:spacing w:line="360" w:lineRule="auto"/>
        <w:jc w:val="both"/>
        <w:rPr>
          <w:rFonts w:ascii="Times New Roman" w:eastAsia="Times New Roman" w:hAnsi="Times New Roman" w:cs="Times New Roman"/>
          <w:sz w:val="24"/>
        </w:rPr>
      </w:pPr>
    </w:p>
    <w:p w14:paraId="06AF3125" w14:textId="77777777" w:rsidR="003F7A0C" w:rsidRDefault="003F7A0C" w:rsidP="003F7A0C">
      <w:pPr>
        <w:tabs>
          <w:tab w:val="left" w:pos="421"/>
        </w:tabs>
        <w:spacing w:line="360" w:lineRule="auto"/>
        <w:jc w:val="both"/>
        <w:rPr>
          <w:rFonts w:ascii="Times New Roman" w:eastAsia="Times New Roman" w:hAnsi="Times New Roman" w:cs="Times New Roman"/>
          <w:sz w:val="24"/>
        </w:rPr>
      </w:pPr>
    </w:p>
    <w:p w14:paraId="09FD0C25" w14:textId="77777777" w:rsidR="003F7A0C" w:rsidRDefault="003F7A0C" w:rsidP="003F7A0C">
      <w:pPr>
        <w:tabs>
          <w:tab w:val="left" w:pos="421"/>
        </w:tabs>
        <w:spacing w:line="360" w:lineRule="auto"/>
        <w:jc w:val="both"/>
        <w:rPr>
          <w:rFonts w:ascii="Times New Roman" w:eastAsia="Times New Roman" w:hAnsi="Times New Roman" w:cs="Times New Roman"/>
          <w:sz w:val="24"/>
        </w:rPr>
      </w:pPr>
    </w:p>
    <w:p w14:paraId="4577A50F" w14:textId="77777777" w:rsidR="003F7A0C" w:rsidRPr="00C17343" w:rsidRDefault="003F7A0C" w:rsidP="003F7A0C">
      <w:pPr>
        <w:tabs>
          <w:tab w:val="left" w:pos="421"/>
        </w:tabs>
        <w:spacing w:line="360" w:lineRule="auto"/>
        <w:jc w:val="both"/>
        <w:rPr>
          <w:rFonts w:ascii="Times New Roman" w:hAnsi="Times New Roman" w:cs="Times New Roman"/>
        </w:rPr>
      </w:pPr>
    </w:p>
    <w:p w14:paraId="1A03FFCD" w14:textId="77777777" w:rsidR="004F78B8" w:rsidRPr="00C17343" w:rsidRDefault="004F78B8">
      <w:pPr>
        <w:spacing w:line="13" w:lineRule="exact"/>
        <w:jc w:val="both"/>
        <w:rPr>
          <w:rFonts w:ascii="Times New Roman" w:eastAsia="Times New Roman" w:hAnsi="Times New Roman" w:cs="Times New Roman"/>
          <w:sz w:val="24"/>
        </w:rPr>
      </w:pPr>
    </w:p>
    <w:p w14:paraId="26791CAA" w14:textId="77777777" w:rsidR="004F78B8" w:rsidRPr="00A97B9D" w:rsidRDefault="004F78B8" w:rsidP="00BD39CE">
      <w:pPr>
        <w:numPr>
          <w:ilvl w:val="1"/>
          <w:numId w:val="11"/>
        </w:numPr>
        <w:tabs>
          <w:tab w:val="left" w:pos="709"/>
        </w:tabs>
        <w:spacing w:line="360" w:lineRule="auto"/>
        <w:ind w:left="697" w:hanging="357"/>
        <w:jc w:val="both"/>
        <w:rPr>
          <w:rFonts w:ascii="Times New Roman" w:hAnsi="Times New Roman" w:cs="Times New Roman"/>
          <w:bCs/>
        </w:rPr>
      </w:pPr>
      <w:r w:rsidRPr="00C17343">
        <w:rPr>
          <w:rFonts w:ascii="Times New Roman" w:eastAsia="Times New Roman" w:hAnsi="Times New Roman" w:cs="Times New Roman"/>
          <w:sz w:val="24"/>
        </w:rPr>
        <w:t>co najmniej z półroczną częstotliwością, od daty umorzenia postępowania dokonuje niezbędnych ustaleń i oceny, czy bezskuteczność egzekucji z majątku dłużnika może mieć charakter przejściowy</w:t>
      </w:r>
      <w:bookmarkStart w:id="4" w:name="page4"/>
      <w:bookmarkEnd w:id="4"/>
      <w:r w:rsidRPr="00C17343">
        <w:rPr>
          <w:rFonts w:ascii="Times New Roman" w:eastAsia="Times New Roman" w:hAnsi="Times New Roman" w:cs="Times New Roman"/>
          <w:sz w:val="24"/>
        </w:rPr>
        <w:t xml:space="preserve"> </w:t>
      </w:r>
      <w:r w:rsidR="00BD39CE" w:rsidRPr="00A97B9D">
        <w:rPr>
          <w:rFonts w:ascii="Times New Roman" w:eastAsia="Times New Roman" w:hAnsi="Times New Roman" w:cs="Times New Roman"/>
          <w:bCs/>
          <w:sz w:val="24"/>
        </w:rPr>
        <w:t xml:space="preserve">w </w:t>
      </w:r>
      <w:r w:rsidRPr="00C17343">
        <w:rPr>
          <w:rFonts w:ascii="Times New Roman" w:eastAsia="Times New Roman" w:hAnsi="Times New Roman" w:cs="Times New Roman"/>
          <w:sz w:val="24"/>
        </w:rPr>
        <w:t xml:space="preserve">przypadku uzasadnionego przypuszczenia posiadania przez dłużnika źródeł dochodu lub majątku podlegającego egzekucji, </w:t>
      </w:r>
      <w:r w:rsidRPr="00A97B9D">
        <w:rPr>
          <w:rFonts w:ascii="Times New Roman" w:eastAsia="Times New Roman" w:hAnsi="Times New Roman" w:cs="Times New Roman"/>
          <w:bCs/>
          <w:sz w:val="24"/>
        </w:rPr>
        <w:t>procedurę windykacyjną wznawia się</w:t>
      </w:r>
      <w:r w:rsidR="00BD39CE" w:rsidRPr="00A97B9D">
        <w:rPr>
          <w:rFonts w:ascii="Times New Roman" w:eastAsia="Times New Roman" w:hAnsi="Times New Roman" w:cs="Times New Roman"/>
          <w:bCs/>
          <w:sz w:val="24"/>
        </w:rPr>
        <w:t>;</w:t>
      </w:r>
    </w:p>
    <w:p w14:paraId="0F4D5A49" w14:textId="77777777" w:rsidR="00BD39CE" w:rsidRPr="003F7A0C" w:rsidRDefault="004F78B8" w:rsidP="00BD39CE">
      <w:pPr>
        <w:numPr>
          <w:ilvl w:val="1"/>
          <w:numId w:val="11"/>
        </w:numPr>
        <w:tabs>
          <w:tab w:val="left" w:pos="709"/>
        </w:tabs>
        <w:spacing w:line="360" w:lineRule="auto"/>
        <w:ind w:left="697" w:hanging="357"/>
        <w:jc w:val="both"/>
        <w:rPr>
          <w:rFonts w:ascii="Times New Roman" w:hAnsi="Times New Roman" w:cs="Times New Roman"/>
        </w:rPr>
      </w:pPr>
      <w:r w:rsidRPr="00C17343">
        <w:rPr>
          <w:rFonts w:ascii="Times New Roman" w:eastAsia="Times New Roman" w:hAnsi="Times New Roman" w:cs="Times New Roman"/>
          <w:sz w:val="24"/>
        </w:rPr>
        <w:t>po stwierdzeniu trwałości charakteru</w:t>
      </w:r>
      <w:r w:rsidR="00BD39CE">
        <w:rPr>
          <w:rFonts w:ascii="Times New Roman" w:eastAsia="Times New Roman" w:hAnsi="Times New Roman" w:cs="Times New Roman"/>
          <w:sz w:val="24"/>
        </w:rPr>
        <w:t xml:space="preserve"> bezskuteczności egzekucji, tj.</w:t>
      </w:r>
      <w:r w:rsidRPr="00C17343">
        <w:rPr>
          <w:rFonts w:ascii="Times New Roman" w:eastAsia="Times New Roman" w:hAnsi="Times New Roman" w:cs="Times New Roman"/>
          <w:sz w:val="24"/>
        </w:rPr>
        <w:t xml:space="preserve"> gdy sytuacja dłużnika nie rokuje wyegzekwowania należności – przedkłada projekt umorzenia należności.</w:t>
      </w:r>
    </w:p>
    <w:p w14:paraId="258D62A9" w14:textId="77777777" w:rsidR="004F78B8" w:rsidRPr="00BD39CE" w:rsidRDefault="004F78B8" w:rsidP="00BD39CE">
      <w:pPr>
        <w:numPr>
          <w:ilvl w:val="0"/>
          <w:numId w:val="12"/>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Jeżeli zachodzi uzasadnione przypuszczenie, że w postępowaniu egzekucyjnym nie uzyska się kwoty wyższej od kosztów dochodzenia i egzekucji należności,</w:t>
      </w:r>
      <w:r w:rsidRPr="00C17343">
        <w:rPr>
          <w:rFonts w:ascii="Times New Roman" w:eastAsia="Times New Roman" w:hAnsi="Times New Roman" w:cs="Times New Roman"/>
          <w:sz w:val="24"/>
        </w:rPr>
        <w:br/>
        <w:t xml:space="preserve">w szczególności dwukrotności kosztów upomnienia,  należność umarza się. W innych przypadkach należności mogą być umorzone w szczególnie uzasadnionych sytuacjach. </w:t>
      </w:r>
    </w:p>
    <w:p w14:paraId="3C0EB374" w14:textId="77777777" w:rsidR="004F78B8" w:rsidRPr="00C17343" w:rsidRDefault="004F78B8" w:rsidP="00BD39CE">
      <w:pPr>
        <w:numPr>
          <w:ilvl w:val="0"/>
          <w:numId w:val="12"/>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color w:val="000000"/>
          <w:sz w:val="24"/>
          <w:szCs w:val="24"/>
        </w:rPr>
        <w:t xml:space="preserve">Należności, w związku, z którymi podjęto czynności egzekucyjne w celu ich odzyskania, wobec braku jakiegokolwiek skutku egzekucji, przedawniają się z </w:t>
      </w:r>
      <w:r w:rsidRPr="00C17343">
        <w:rPr>
          <w:rFonts w:ascii="Times New Roman" w:hAnsi="Times New Roman" w:cs="Times New Roman"/>
          <w:color w:val="000000"/>
          <w:sz w:val="24"/>
          <w:szCs w:val="24"/>
        </w:rPr>
        <w:t>upływem 3 lat, licząc od dnia, w którym decyzja o ustaleniu i zwrocie nienależnie pobranych świadczeń stała się ostateczna.</w:t>
      </w:r>
    </w:p>
    <w:p w14:paraId="1B073C9D" w14:textId="77777777" w:rsidR="004F78B8" w:rsidRPr="00C17343" w:rsidRDefault="004F78B8" w:rsidP="00BD39CE">
      <w:pPr>
        <w:numPr>
          <w:ilvl w:val="0"/>
          <w:numId w:val="12"/>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Bieg przedawnienia przerywa odroczenie terminu płatności należności lub rozłożenie spłaty należności na raty. Po przerwaniu biegu terminu przedawnienia biegnie on na nowo od dnia następującego po dniu ustalonym jako ostatni dzień spłaty odroczonej należności lub po dniu ustalonym jako ostatni dzień spłaty ostatniej raty należności</w:t>
      </w:r>
      <w:r w:rsidR="007A4D62">
        <w:rPr>
          <w:rFonts w:ascii="Times New Roman" w:eastAsia="Times New Roman" w:hAnsi="Times New Roman" w:cs="Times New Roman"/>
          <w:sz w:val="24"/>
        </w:rPr>
        <w:t>.</w:t>
      </w:r>
    </w:p>
    <w:p w14:paraId="7FAD13D8" w14:textId="77777777" w:rsidR="004F78B8" w:rsidRPr="00BD39CE" w:rsidRDefault="004F78B8" w:rsidP="00BD39CE">
      <w:pPr>
        <w:numPr>
          <w:ilvl w:val="0"/>
          <w:numId w:val="12"/>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Decyzję w sprawie umorzenia należności podejmuje Dyrektor MOPS.</w:t>
      </w:r>
    </w:p>
    <w:p w14:paraId="2DDF4A3E" w14:textId="77777777" w:rsidR="004F78B8" w:rsidRPr="00C17343" w:rsidRDefault="004F78B8" w:rsidP="00BD39CE">
      <w:pPr>
        <w:numPr>
          <w:ilvl w:val="0"/>
          <w:numId w:val="12"/>
        </w:numPr>
        <w:tabs>
          <w:tab w:val="left" w:pos="421"/>
        </w:tabs>
        <w:spacing w:line="360" w:lineRule="auto"/>
        <w:ind w:left="420" w:hanging="420"/>
        <w:jc w:val="both"/>
        <w:rPr>
          <w:rFonts w:ascii="Times New Roman" w:hAnsi="Times New Roman" w:cs="Times New Roman"/>
        </w:rPr>
      </w:pPr>
      <w:r w:rsidRPr="00C17343">
        <w:rPr>
          <w:rFonts w:ascii="Times New Roman" w:eastAsia="Times New Roman" w:hAnsi="Times New Roman" w:cs="Times New Roman"/>
          <w:sz w:val="24"/>
        </w:rPr>
        <w:t>Komórka organizacyjna niezwłocznie przekazuje do DFK decyzje o umorzeniu należności.</w:t>
      </w:r>
    </w:p>
    <w:sectPr w:rsidR="004F78B8" w:rsidRPr="00C17343">
      <w:pgSz w:w="11906" w:h="16838"/>
      <w:pgMar w:top="1421" w:right="1406" w:bottom="1440" w:left="141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charset w:val="EE"/>
    <w:family w:val="roman"/>
    <w:pitch w:val="variable"/>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1"/>
    <w:lvl w:ilvl="0">
      <w:start w:val="1"/>
      <w:numFmt w:val="bullet"/>
      <w:lvlText w:val="§"/>
      <w:lvlJc w:val="left"/>
      <w:pPr>
        <w:tabs>
          <w:tab w:val="num" w:pos="0"/>
        </w:tabs>
        <w:ind w:left="0" w:firstLine="0"/>
      </w:pPr>
      <w:rPr>
        <w:rFonts w:ascii="Liberation Serif" w:hAnsi="Liberation Serif" w:cs="Liberation Serif"/>
      </w:r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0" w:firstLine="0"/>
      </w:pPr>
      <w:rPr>
        <w:rFonts w:ascii="Liberation Serif" w:hAnsi="Liberation Serif" w:cs="Liberation Serif"/>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0" w:firstLine="0"/>
      </w:pPr>
      <w:rPr>
        <w:rFonts w:ascii="Liberation Serif" w:hAnsi="Liberation Serif" w:cs="Liberation Serif"/>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0" w:firstLine="0"/>
      </w:pPr>
      <w:rPr>
        <w:rFonts w:ascii="Times New Roman" w:eastAsia="Times New Roman" w:hAnsi="Times New Roman" w:cs="Times New Roman"/>
        <w:sz w:val="24"/>
      </w:r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0" w:firstLine="0"/>
      </w:pPr>
      <w:rPr>
        <w:rFonts w:ascii="Times New Roman" w:eastAsia="Times New Roman" w:hAnsi="Times New Roman" w:cs="Times New Roman"/>
        <w:bCs/>
        <w:color w:val="000000"/>
        <w:sz w:val="24"/>
      </w:r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0" w:firstLine="0"/>
      </w:pPr>
      <w:rPr>
        <w:rFonts w:cs="Times New Roman"/>
      </w:rPr>
    </w:lvl>
    <w:lvl w:ilvl="1">
      <w:start w:val="1"/>
      <w:numFmt w:val="bullet"/>
      <w:lvlText w:val="§"/>
      <w:lvlJc w:val="left"/>
      <w:pPr>
        <w:tabs>
          <w:tab w:val="num" w:pos="0"/>
        </w:tabs>
        <w:ind w:left="0" w:firstLine="0"/>
      </w:pPr>
      <w:rPr>
        <w:rFonts w:ascii="Liberation Serif" w:hAnsi="Liberation Serif" w:cs="Liberation Serif"/>
      </w:rPr>
    </w:lvl>
    <w:lvl w:ilvl="2">
      <w:start w:val="1"/>
      <w:numFmt w:val="bullet"/>
      <w:lvlText w:val="←"/>
      <w:lvlJc w:val="left"/>
      <w:pPr>
        <w:tabs>
          <w:tab w:val="num" w:pos="0"/>
        </w:tabs>
        <w:ind w:left="0" w:firstLine="0"/>
      </w:pPr>
      <w:rPr>
        <w:rFonts w:ascii="Liberation Serif" w:hAnsi="Liberation Serif" w:cs="Liberation Serif"/>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6" w15:restartNumberingAfterBreak="0">
    <w:nsid w:val="00000007"/>
    <w:multiLevelType w:val="singleLevel"/>
    <w:tmpl w:val="8A8CC4D8"/>
    <w:name w:val="WW8Num7"/>
    <w:lvl w:ilvl="0">
      <w:start w:val="2"/>
      <w:numFmt w:val="decimal"/>
      <w:lvlText w:val="%1."/>
      <w:lvlJc w:val="left"/>
      <w:pPr>
        <w:tabs>
          <w:tab w:val="num" w:pos="0"/>
        </w:tabs>
        <w:ind w:left="0" w:firstLine="0"/>
      </w:pPr>
      <w:rPr>
        <w:rFonts w:ascii="Times New Roman" w:hAnsi="Times New Roman" w:cs="Times New Roman" w:hint="default"/>
        <w:sz w:val="24"/>
        <w:szCs w:val="24"/>
      </w:rPr>
    </w:lvl>
  </w:abstractNum>
  <w:abstractNum w:abstractNumId="7" w15:restartNumberingAfterBreak="0">
    <w:nsid w:val="00000008"/>
    <w:multiLevelType w:val="multilevel"/>
    <w:tmpl w:val="5A56E95A"/>
    <w:name w:val="WW8Num8"/>
    <w:lvl w:ilvl="0">
      <w:numFmt w:val="decimal"/>
      <w:lvlText w:val="%1."/>
      <w:lvlJc w:val="left"/>
      <w:pPr>
        <w:tabs>
          <w:tab w:val="num" w:pos="0"/>
        </w:tabs>
        <w:ind w:left="0" w:firstLine="0"/>
      </w:pPr>
      <w:rPr>
        <w:rFonts w:ascii="Times New Roman" w:eastAsia="Times New Roman" w:hAnsi="Times New Roman" w:cs="Times New Roman" w:hint="default"/>
        <w:sz w:val="24"/>
      </w:rPr>
    </w:lvl>
    <w:lvl w:ilvl="1">
      <w:start w:val="1"/>
      <w:numFmt w:val="bullet"/>
      <w:lvlText w:val="§"/>
      <w:lvlJc w:val="left"/>
      <w:pPr>
        <w:tabs>
          <w:tab w:val="num" w:pos="0"/>
        </w:tabs>
        <w:ind w:left="0" w:firstLine="0"/>
      </w:pPr>
      <w:rPr>
        <w:rFonts w:ascii="Liberation Serif" w:hAnsi="Liberation Serif" w:cs="Liberation Serif" w:hint="default"/>
      </w:rPr>
    </w:lvl>
    <w:lvl w:ilvl="2">
      <w:start w:val="1"/>
      <w:numFmt w:val="bullet"/>
      <w:lvlText w:val="←"/>
      <w:lvlJc w:val="left"/>
      <w:pPr>
        <w:tabs>
          <w:tab w:val="num" w:pos="0"/>
        </w:tabs>
        <w:ind w:left="0" w:firstLine="0"/>
      </w:pPr>
      <w:rPr>
        <w:rFonts w:ascii="Liberation Serif" w:hAnsi="Liberation Serif" w:cs="Liberation Serif" w:hint="default"/>
      </w:rPr>
    </w:lvl>
    <w:lvl w:ilvl="3">
      <w:start w:val="1"/>
      <w:numFmt w:val="bullet"/>
      <w:lvlText w:val="←"/>
      <w:lvlJc w:val="left"/>
      <w:pPr>
        <w:tabs>
          <w:tab w:val="num" w:pos="0"/>
        </w:tabs>
        <w:ind w:left="0" w:firstLine="0"/>
      </w:pPr>
      <w:rPr>
        <w:rFonts w:ascii="Liberation Serif" w:hAnsi="Liberation Serif" w:cs="Liberation Serif" w:hint="default"/>
      </w:rPr>
    </w:lvl>
    <w:lvl w:ilvl="4">
      <w:start w:val="1"/>
      <w:numFmt w:val="bullet"/>
      <w:lvlText w:val="←"/>
      <w:lvlJc w:val="left"/>
      <w:pPr>
        <w:tabs>
          <w:tab w:val="num" w:pos="0"/>
        </w:tabs>
        <w:ind w:left="0" w:firstLine="0"/>
      </w:pPr>
      <w:rPr>
        <w:rFonts w:ascii="Liberation Serif" w:hAnsi="Liberation Serif" w:cs="Liberation Serif" w:hint="default"/>
      </w:rPr>
    </w:lvl>
    <w:lvl w:ilvl="5">
      <w:start w:val="1"/>
      <w:numFmt w:val="bullet"/>
      <w:lvlText w:val="←"/>
      <w:lvlJc w:val="left"/>
      <w:pPr>
        <w:tabs>
          <w:tab w:val="num" w:pos="0"/>
        </w:tabs>
        <w:ind w:left="0" w:firstLine="0"/>
      </w:pPr>
      <w:rPr>
        <w:rFonts w:ascii="Liberation Serif" w:hAnsi="Liberation Serif" w:cs="Liberation Serif" w:hint="default"/>
      </w:rPr>
    </w:lvl>
    <w:lvl w:ilvl="6">
      <w:start w:val="1"/>
      <w:numFmt w:val="bullet"/>
      <w:lvlText w:val="←"/>
      <w:lvlJc w:val="left"/>
      <w:pPr>
        <w:tabs>
          <w:tab w:val="num" w:pos="0"/>
        </w:tabs>
        <w:ind w:left="0" w:firstLine="0"/>
      </w:pPr>
      <w:rPr>
        <w:rFonts w:ascii="Liberation Serif" w:hAnsi="Liberation Serif" w:cs="Liberation Serif" w:hint="default"/>
      </w:rPr>
    </w:lvl>
    <w:lvl w:ilvl="7">
      <w:start w:val="1"/>
      <w:numFmt w:val="bullet"/>
      <w:lvlText w:val="←"/>
      <w:lvlJc w:val="left"/>
      <w:pPr>
        <w:tabs>
          <w:tab w:val="num" w:pos="0"/>
        </w:tabs>
        <w:ind w:left="0" w:firstLine="0"/>
      </w:pPr>
      <w:rPr>
        <w:rFonts w:ascii="Liberation Serif" w:hAnsi="Liberation Serif" w:cs="Liberation Serif" w:hint="default"/>
      </w:rPr>
    </w:lvl>
    <w:lvl w:ilvl="8">
      <w:start w:val="1"/>
      <w:numFmt w:val="bullet"/>
      <w:lvlText w:val="←"/>
      <w:lvlJc w:val="left"/>
      <w:pPr>
        <w:tabs>
          <w:tab w:val="num" w:pos="0"/>
        </w:tabs>
        <w:ind w:left="0" w:firstLine="0"/>
      </w:pPr>
      <w:rPr>
        <w:rFonts w:ascii="Liberation Serif" w:hAnsi="Liberation Serif" w:cs="Liberation Serif" w:hint="default"/>
      </w:rPr>
    </w:lvl>
  </w:abstractNum>
  <w:abstractNum w:abstractNumId="8" w15:restartNumberingAfterBreak="0">
    <w:nsid w:val="00000009"/>
    <w:multiLevelType w:val="multilevel"/>
    <w:tmpl w:val="00000009"/>
    <w:name w:val="WW8Num9"/>
    <w:lvl w:ilvl="0">
      <w:start w:val="1"/>
      <w:numFmt w:val="decimal"/>
      <w:lvlText w:val="%1."/>
      <w:lvlJc w:val="left"/>
      <w:pPr>
        <w:tabs>
          <w:tab w:val="num" w:pos="340"/>
        </w:tabs>
        <w:ind w:left="340" w:hanging="340"/>
      </w:pPr>
      <w:rPr>
        <w:rFonts w:ascii="Times New Roman" w:eastAsia="Times New Roman" w:hAnsi="Times New Roman" w:cs="Times New Roman"/>
        <w:sz w:val="24"/>
        <w:szCs w:val="24"/>
      </w:rPr>
    </w:lvl>
    <w:lvl w:ilvl="1">
      <w:start w:val="1"/>
      <w:numFmt w:val="decimal"/>
      <w:lvlText w:val="%2)"/>
      <w:lvlJc w:val="left"/>
      <w:pPr>
        <w:tabs>
          <w:tab w:val="num" w:pos="0"/>
        </w:tabs>
        <w:ind w:left="0" w:firstLine="0"/>
      </w:pPr>
      <w:rPr>
        <w:rFonts w:ascii="Times New Roman" w:eastAsia="Times New Roman" w:hAnsi="Times New Roman" w:cs="Times New Roman"/>
        <w:sz w:val="24"/>
      </w:rPr>
    </w:lvl>
    <w:lvl w:ilvl="2">
      <w:start w:val="1"/>
      <w:numFmt w:val="bullet"/>
      <w:lvlText w:val="←"/>
      <w:lvlJc w:val="left"/>
      <w:pPr>
        <w:tabs>
          <w:tab w:val="num" w:pos="0"/>
        </w:tabs>
        <w:ind w:left="0" w:firstLine="0"/>
      </w:pPr>
      <w:rPr>
        <w:rFonts w:ascii="Liberation Serif" w:hAnsi="Liberation Serif" w:cs="Liberation Serif"/>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9" w15:restartNumberingAfterBreak="0">
    <w:nsid w:val="0000000A"/>
    <w:multiLevelType w:val="multilevel"/>
    <w:tmpl w:val="0000000A"/>
    <w:name w:val="WW8Num10"/>
    <w:lvl w:ilvl="0">
      <w:numFmt w:val="decimal"/>
      <w:lvlText w:val="%1."/>
      <w:lvlJc w:val="left"/>
      <w:pPr>
        <w:tabs>
          <w:tab w:val="num" w:pos="0"/>
        </w:tabs>
        <w:ind w:left="0" w:firstLine="0"/>
      </w:pPr>
      <w:rPr>
        <w:rFonts w:ascii="Times New Roman" w:eastAsia="Times New Roman" w:hAnsi="Times New Roman" w:cs="Times New Roman"/>
        <w:sz w:val="24"/>
      </w:rPr>
    </w:lvl>
    <w:lvl w:ilvl="1">
      <w:start w:val="1"/>
      <w:numFmt w:val="decimal"/>
      <w:lvlText w:val="%2)"/>
      <w:lvlJc w:val="left"/>
      <w:pPr>
        <w:tabs>
          <w:tab w:val="num" w:pos="0"/>
        </w:tabs>
        <w:ind w:left="0" w:firstLine="0"/>
      </w:pPr>
    </w:lvl>
    <w:lvl w:ilvl="2">
      <w:start w:val="1"/>
      <w:numFmt w:val="bullet"/>
      <w:lvlText w:val="§"/>
      <w:lvlJc w:val="left"/>
      <w:pPr>
        <w:tabs>
          <w:tab w:val="num" w:pos="0"/>
        </w:tabs>
        <w:ind w:left="0" w:firstLine="0"/>
      </w:pPr>
      <w:rPr>
        <w:rFonts w:ascii="Liberation Serif" w:hAnsi="Liberation Serif" w:cs="Liberation Serif"/>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10" w15:restartNumberingAfterBreak="0">
    <w:nsid w:val="0000000B"/>
    <w:multiLevelType w:val="multilevel"/>
    <w:tmpl w:val="0000000B"/>
    <w:name w:val="WW8Num11"/>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rPr>
        <w:rFonts w:ascii="Times New Roman" w:eastAsia="Times New Roman" w:hAnsi="Times New Roman" w:cs="Times New Roman"/>
        <w:sz w:val="24"/>
      </w:rPr>
    </w:lvl>
    <w:lvl w:ilvl="2">
      <w:start w:val="1"/>
      <w:numFmt w:val="bullet"/>
      <w:lvlText w:val="←"/>
      <w:lvlJc w:val="left"/>
      <w:pPr>
        <w:tabs>
          <w:tab w:val="num" w:pos="0"/>
        </w:tabs>
        <w:ind w:left="0" w:firstLine="0"/>
      </w:pPr>
      <w:rPr>
        <w:rFonts w:ascii="Liberation Serif" w:hAnsi="Liberation Serif" w:cs="Liberation Serif"/>
      </w:rPr>
    </w:lvl>
    <w:lvl w:ilvl="3">
      <w:start w:val="1"/>
      <w:numFmt w:val="bullet"/>
      <w:lvlText w:val="←"/>
      <w:lvlJc w:val="left"/>
      <w:pPr>
        <w:tabs>
          <w:tab w:val="num" w:pos="0"/>
        </w:tabs>
        <w:ind w:left="0" w:firstLine="0"/>
      </w:pPr>
      <w:rPr>
        <w:rFonts w:ascii="Liberation Serif" w:hAnsi="Liberation Serif" w:cs="Liberation Serif"/>
      </w:rPr>
    </w:lvl>
    <w:lvl w:ilvl="4">
      <w:start w:val="1"/>
      <w:numFmt w:val="bullet"/>
      <w:lvlText w:val="←"/>
      <w:lvlJc w:val="left"/>
      <w:pPr>
        <w:tabs>
          <w:tab w:val="num" w:pos="0"/>
        </w:tabs>
        <w:ind w:left="0" w:firstLine="0"/>
      </w:pPr>
      <w:rPr>
        <w:rFonts w:ascii="Liberation Serif" w:hAnsi="Liberation Serif" w:cs="Liberation Serif"/>
      </w:rPr>
    </w:lvl>
    <w:lvl w:ilvl="5">
      <w:start w:val="1"/>
      <w:numFmt w:val="bullet"/>
      <w:lvlText w:val="←"/>
      <w:lvlJc w:val="left"/>
      <w:pPr>
        <w:tabs>
          <w:tab w:val="num" w:pos="0"/>
        </w:tabs>
        <w:ind w:left="0" w:firstLine="0"/>
      </w:pPr>
      <w:rPr>
        <w:rFonts w:ascii="Liberation Serif" w:hAnsi="Liberation Serif" w:cs="Liberation Serif"/>
      </w:rPr>
    </w:lvl>
    <w:lvl w:ilvl="6">
      <w:start w:val="1"/>
      <w:numFmt w:val="bullet"/>
      <w:lvlText w:val="←"/>
      <w:lvlJc w:val="left"/>
      <w:pPr>
        <w:tabs>
          <w:tab w:val="num" w:pos="0"/>
        </w:tabs>
        <w:ind w:left="0" w:firstLine="0"/>
      </w:pPr>
      <w:rPr>
        <w:rFonts w:ascii="Liberation Serif" w:hAnsi="Liberation Serif" w:cs="Liberation Serif"/>
      </w:rPr>
    </w:lvl>
    <w:lvl w:ilvl="7">
      <w:start w:val="1"/>
      <w:numFmt w:val="bullet"/>
      <w:lvlText w:val="←"/>
      <w:lvlJc w:val="left"/>
      <w:pPr>
        <w:tabs>
          <w:tab w:val="num" w:pos="0"/>
        </w:tabs>
        <w:ind w:left="0" w:firstLine="0"/>
      </w:pPr>
      <w:rPr>
        <w:rFonts w:ascii="Liberation Serif" w:hAnsi="Liberation Serif" w:cs="Liberation Serif"/>
      </w:rPr>
    </w:lvl>
    <w:lvl w:ilvl="8">
      <w:start w:val="1"/>
      <w:numFmt w:val="bullet"/>
      <w:lvlText w:val="←"/>
      <w:lvlJc w:val="left"/>
      <w:pPr>
        <w:tabs>
          <w:tab w:val="num" w:pos="0"/>
        </w:tabs>
        <w:ind w:left="0" w:firstLine="0"/>
      </w:pPr>
      <w:rPr>
        <w:rFonts w:ascii="Liberation Serif" w:hAnsi="Liberation Serif" w:cs="Liberation Serif"/>
      </w:rPr>
    </w:lvl>
  </w:abstractNum>
  <w:abstractNum w:abstractNumId="11" w15:restartNumberingAfterBreak="0">
    <w:nsid w:val="0000000C"/>
    <w:multiLevelType w:val="singleLevel"/>
    <w:tmpl w:val="0000000C"/>
    <w:name w:val="WW8Num12"/>
    <w:lvl w:ilvl="0">
      <w:start w:val="2"/>
      <w:numFmt w:val="decimal"/>
      <w:lvlText w:val="%1."/>
      <w:lvlJc w:val="left"/>
      <w:pPr>
        <w:tabs>
          <w:tab w:val="num" w:pos="0"/>
        </w:tabs>
        <w:ind w:left="0" w:firstLine="0"/>
      </w:pPr>
      <w:rPr>
        <w:rFonts w:ascii="Times New Roman" w:eastAsia="Times New Roman" w:hAnsi="Times New Roman" w:cs="Times New Roman"/>
        <w:sz w:val="24"/>
      </w:rPr>
    </w:lvl>
  </w:abstractNum>
  <w:abstractNum w:abstractNumId="12" w15:restartNumberingAfterBreak="0">
    <w:nsid w:val="0000000D"/>
    <w:multiLevelType w:val="singleLevel"/>
    <w:tmpl w:val="0000000D"/>
    <w:name w:val="WW8Num13"/>
    <w:lvl w:ilvl="0">
      <w:start w:val="1"/>
      <w:numFmt w:val="decimal"/>
      <w:lvlText w:val="%1)"/>
      <w:lvlJc w:val="left"/>
      <w:pPr>
        <w:tabs>
          <w:tab w:val="num" w:pos="0"/>
        </w:tabs>
        <w:ind w:left="720" w:hanging="360"/>
      </w:pPr>
      <w:rPr>
        <w:rFonts w:ascii="Times New Roman" w:eastAsia="Times New Roman" w:hAnsi="Times New Roman" w:cs="Times New Roman" w:hint="default"/>
        <w:sz w:val="24"/>
      </w:rPr>
    </w:lvl>
  </w:abstractNum>
  <w:abstractNum w:abstractNumId="13" w15:restartNumberingAfterBreak="0">
    <w:nsid w:val="0000000E"/>
    <w:multiLevelType w:val="singleLevel"/>
    <w:tmpl w:val="192E462C"/>
    <w:name w:val="WW8Num14"/>
    <w:lvl w:ilvl="0">
      <w:start w:val="1"/>
      <w:numFmt w:val="decimal"/>
      <w:lvlText w:val="%1."/>
      <w:lvlJc w:val="left"/>
      <w:pPr>
        <w:tabs>
          <w:tab w:val="num" w:pos="340"/>
        </w:tabs>
        <w:ind w:left="340" w:hanging="340"/>
      </w:pPr>
      <w:rPr>
        <w:rFonts w:ascii="Times New Roman" w:eastAsia="Times New Roman" w:hAnsi="Times New Roman" w:cs="Times New Roman"/>
        <w:color w:val="auto"/>
        <w:sz w:val="24"/>
        <w:szCs w:val="24"/>
        <w:highlight w:val="yellow"/>
      </w:rPr>
    </w:lvl>
  </w:abstractNum>
  <w:abstractNum w:abstractNumId="14" w15:restartNumberingAfterBreak="0">
    <w:nsid w:val="0000000F"/>
    <w:multiLevelType w:val="multilevel"/>
    <w:tmpl w:val="0000000F"/>
    <w:name w:val="WW8Num16"/>
    <w:lvl w:ilvl="0">
      <w:start w:val="1"/>
      <w:numFmt w:val="decimal"/>
      <w:lvlText w:val="%1."/>
      <w:lvlJc w:val="left"/>
      <w:pPr>
        <w:tabs>
          <w:tab w:val="num" w:pos="0"/>
        </w:tabs>
        <w:ind w:left="360" w:hanging="360"/>
      </w:pPr>
      <w:rPr>
        <w:rFonts w:ascii="Times New Roman" w:eastAsia="Times New Roman" w:hAnsi="Times New Roman" w:cs="Times New Roman"/>
        <w:sz w:val="24"/>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00000010"/>
    <w:multiLevelType w:val="multilevel"/>
    <w:tmpl w:val="000000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1A310D4B"/>
    <w:multiLevelType w:val="hybridMultilevel"/>
    <w:tmpl w:val="3E2C85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49DC3AB2"/>
    <w:multiLevelType w:val="hybridMultilevel"/>
    <w:tmpl w:val="71CC0680"/>
    <w:lvl w:ilvl="0" w:tplc="0CA6AAE4">
      <w:start w:val="1"/>
      <w:numFmt w:val="decimal"/>
      <w:lvlText w:val="%1."/>
      <w:lvlJc w:val="left"/>
      <w:pPr>
        <w:ind w:left="720" w:hanging="360"/>
      </w:pPr>
      <w:rPr>
        <w:rFonts w:eastAsia="Times New Roman" w:hint="default"/>
        <w:sz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F147A5A"/>
    <w:multiLevelType w:val="hybridMultilevel"/>
    <w:tmpl w:val="4FAE3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1AF3020"/>
    <w:multiLevelType w:val="hybridMultilevel"/>
    <w:tmpl w:val="0270FC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7E63511"/>
    <w:multiLevelType w:val="hybridMultilevel"/>
    <w:tmpl w:val="36608E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131269A"/>
    <w:multiLevelType w:val="hybridMultilevel"/>
    <w:tmpl w:val="13E824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8360E8D"/>
    <w:multiLevelType w:val="hybridMultilevel"/>
    <w:tmpl w:val="75001EEA"/>
    <w:lvl w:ilvl="0" w:tplc="DBC4ABD4">
      <w:start w:val="1"/>
      <w:numFmt w:val="decimal"/>
      <w:lvlText w:val="%1."/>
      <w:lvlJc w:val="left"/>
      <w:pPr>
        <w:ind w:left="454" w:hanging="341"/>
      </w:pPr>
      <w:rPr>
        <w:rFonts w:ascii="Times New Roman" w:eastAsia="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22"/>
  </w:num>
  <w:num w:numId="18">
    <w:abstractNumId w:val="18"/>
  </w:num>
  <w:num w:numId="19">
    <w:abstractNumId w:val="16"/>
  </w:num>
  <w:num w:numId="20">
    <w:abstractNumId w:val="19"/>
  </w:num>
  <w:num w:numId="21">
    <w:abstractNumId w:val="20"/>
  </w:num>
  <w:num w:numId="22">
    <w:abstractNumId w:val="21"/>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CBB"/>
    <w:rsid w:val="000A21D0"/>
    <w:rsid w:val="0014740A"/>
    <w:rsid w:val="00195E31"/>
    <w:rsid w:val="00197457"/>
    <w:rsid w:val="00281F66"/>
    <w:rsid w:val="00376E98"/>
    <w:rsid w:val="003A3FFB"/>
    <w:rsid w:val="003C22C1"/>
    <w:rsid w:val="003F7A0C"/>
    <w:rsid w:val="0043280E"/>
    <w:rsid w:val="00472374"/>
    <w:rsid w:val="004F78B8"/>
    <w:rsid w:val="0068535E"/>
    <w:rsid w:val="006C4CBB"/>
    <w:rsid w:val="007002AF"/>
    <w:rsid w:val="00732782"/>
    <w:rsid w:val="00737866"/>
    <w:rsid w:val="007A4D62"/>
    <w:rsid w:val="00817733"/>
    <w:rsid w:val="00863ABC"/>
    <w:rsid w:val="008E7632"/>
    <w:rsid w:val="008F7FA6"/>
    <w:rsid w:val="009566D0"/>
    <w:rsid w:val="009E2143"/>
    <w:rsid w:val="009F7876"/>
    <w:rsid w:val="00A17E0E"/>
    <w:rsid w:val="00A55434"/>
    <w:rsid w:val="00A97B9D"/>
    <w:rsid w:val="00AA0EA1"/>
    <w:rsid w:val="00AC0687"/>
    <w:rsid w:val="00AF70A5"/>
    <w:rsid w:val="00B15A09"/>
    <w:rsid w:val="00B25C46"/>
    <w:rsid w:val="00BD39CE"/>
    <w:rsid w:val="00C17343"/>
    <w:rsid w:val="00CA0979"/>
    <w:rsid w:val="00E16CAF"/>
    <w:rsid w:val="00F336A9"/>
    <w:rsid w:val="00F64076"/>
    <w:rsid w:val="00FB7596"/>
    <w:rsid w:val="00FD1A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EAD7840"/>
  <w15:chartTrackingRefBased/>
  <w15:docId w15:val="{70AD70D3-70BF-4987-9B15-E0FBCE27E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rFonts w:ascii="Calibri" w:eastAsia="Calibri" w:hAnsi="Calibri" w:cs="Arial"/>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Liberation Serif" w:hAnsi="Liberation Serif" w:cs="Liberation Serif"/>
    </w:rPr>
  </w:style>
  <w:style w:type="character" w:customStyle="1" w:styleId="WW8Num2z0">
    <w:name w:val="WW8Num2z0"/>
    <w:rPr>
      <w:rFonts w:ascii="Liberation Serif" w:hAnsi="Liberation Serif" w:cs="Liberation Serif"/>
    </w:rPr>
  </w:style>
  <w:style w:type="character" w:customStyle="1" w:styleId="WW8Num3z0">
    <w:name w:val="WW8Num3z0"/>
    <w:rPr>
      <w:rFonts w:ascii="Liberation Serif" w:hAnsi="Liberation Serif" w:cs="Liberation Serif"/>
    </w:rPr>
  </w:style>
  <w:style w:type="character" w:customStyle="1" w:styleId="WW8Num4z0">
    <w:name w:val="WW8Num4z0"/>
    <w:rPr>
      <w:rFonts w:ascii="Times New Roman" w:eastAsia="Times New Roman" w:hAnsi="Times New Roman" w:cs="Times New Roman"/>
      <w:sz w:val="24"/>
    </w:rPr>
  </w:style>
  <w:style w:type="character" w:customStyle="1" w:styleId="WW8Num5z0">
    <w:name w:val="WW8Num5z0"/>
    <w:rPr>
      <w:rFonts w:ascii="Times New Roman" w:eastAsia="Times New Roman" w:hAnsi="Times New Roman" w:cs="Times New Roman"/>
      <w:bCs/>
      <w:color w:val="000000"/>
      <w:sz w:val="24"/>
    </w:rPr>
  </w:style>
  <w:style w:type="character" w:customStyle="1" w:styleId="WW8Num6z0">
    <w:name w:val="WW8Num6z0"/>
    <w:rPr>
      <w:rFonts w:cs="Times New Roman"/>
    </w:rPr>
  </w:style>
  <w:style w:type="character" w:customStyle="1" w:styleId="WW8Num6z1">
    <w:name w:val="WW8Num6z1"/>
    <w:rPr>
      <w:rFonts w:ascii="Liberation Serif" w:hAnsi="Liberation Serif" w:cs="Liberation Serif"/>
    </w:rPr>
  </w:style>
  <w:style w:type="character" w:customStyle="1" w:styleId="WW8Num7z0">
    <w:name w:val="WW8Num7z0"/>
    <w:rPr>
      <w:rFonts w:cs="Times New Roman"/>
    </w:rPr>
  </w:style>
  <w:style w:type="character" w:customStyle="1" w:styleId="WW8Num8z0">
    <w:name w:val="WW8Num8z0"/>
    <w:rPr>
      <w:rFonts w:ascii="Times New Roman" w:eastAsia="Times New Roman" w:hAnsi="Times New Roman" w:cs="Times New Roman"/>
      <w:sz w:val="24"/>
    </w:rPr>
  </w:style>
  <w:style w:type="character" w:customStyle="1" w:styleId="WW8Num8z1">
    <w:name w:val="WW8Num8z1"/>
    <w:rPr>
      <w:rFonts w:ascii="Times New Roman" w:hAnsi="Times New Roman" w:cs="Liberation Serif"/>
    </w:rPr>
  </w:style>
  <w:style w:type="character" w:customStyle="1" w:styleId="WW8Num9z0">
    <w:name w:val="WW8Num9z0"/>
    <w:rPr>
      <w:rFonts w:ascii="Times New Roman" w:eastAsia="Times New Roman" w:hAnsi="Times New Roman" w:cs="Times New Roman"/>
      <w:sz w:val="24"/>
      <w:szCs w:val="24"/>
    </w:rPr>
  </w:style>
  <w:style w:type="character" w:customStyle="1" w:styleId="WW8Num9z1">
    <w:name w:val="WW8Num9z1"/>
    <w:rPr>
      <w:rFonts w:ascii="Times New Roman" w:eastAsia="Times New Roman" w:hAnsi="Times New Roman" w:cs="Times New Roman"/>
      <w:sz w:val="24"/>
    </w:rPr>
  </w:style>
  <w:style w:type="character" w:customStyle="1" w:styleId="WW8Num9z2">
    <w:name w:val="WW8Num9z2"/>
    <w:rPr>
      <w:rFonts w:ascii="Liberation Serif" w:hAnsi="Liberation Serif" w:cs="Liberation Serif"/>
    </w:rPr>
  </w:style>
  <w:style w:type="character" w:customStyle="1" w:styleId="WW8Num10z0">
    <w:name w:val="WW8Num10z0"/>
    <w:rPr>
      <w:rFonts w:ascii="Times New Roman" w:eastAsia="Times New Roman" w:hAnsi="Times New Roman" w:cs="Times New Roman"/>
      <w:sz w:val="24"/>
    </w:rPr>
  </w:style>
  <w:style w:type="character" w:customStyle="1" w:styleId="WW8Num10z1">
    <w:name w:val="WW8Num10z1"/>
  </w:style>
  <w:style w:type="character" w:customStyle="1" w:styleId="WW8Num10z2">
    <w:name w:val="WW8Num10z2"/>
    <w:rPr>
      <w:rFonts w:ascii="Times New Roman" w:hAnsi="Times New Roman" w:cs="Liberation Serif"/>
    </w:rPr>
  </w:style>
  <w:style w:type="character" w:customStyle="1" w:styleId="WW8Num11z0">
    <w:name w:val="WW8Num11z0"/>
  </w:style>
  <w:style w:type="character" w:customStyle="1" w:styleId="WW8Num11z1">
    <w:name w:val="WW8Num11z1"/>
    <w:rPr>
      <w:rFonts w:ascii="Times New Roman" w:eastAsia="Times New Roman" w:hAnsi="Times New Roman" w:cs="Times New Roman"/>
      <w:sz w:val="24"/>
    </w:rPr>
  </w:style>
  <w:style w:type="character" w:customStyle="1" w:styleId="WW8Num11z2">
    <w:name w:val="WW8Num11z2"/>
    <w:rPr>
      <w:rFonts w:ascii="Liberation Serif" w:hAnsi="Liberation Serif" w:cs="Liberation Serif"/>
    </w:rPr>
  </w:style>
  <w:style w:type="character" w:customStyle="1" w:styleId="WW8Num12z0">
    <w:name w:val="WW8Num12z0"/>
    <w:rPr>
      <w:rFonts w:ascii="Times New Roman" w:eastAsia="Times New Roman" w:hAnsi="Times New Roman" w:cs="Times New Roman"/>
      <w:sz w:val="24"/>
    </w:rPr>
  </w:style>
  <w:style w:type="character" w:customStyle="1" w:styleId="WW8Num13z0">
    <w:name w:val="WW8Num13z0"/>
    <w:rPr>
      <w:rFonts w:ascii="Times New Roman" w:eastAsia="Times New Roman" w:hAnsi="Times New Roman" w:cs="Times New Roman" w:hint="default"/>
      <w:sz w:val="24"/>
    </w:rPr>
  </w:style>
  <w:style w:type="character" w:customStyle="1" w:styleId="WW8Num14z0">
    <w:name w:val="WW8Num14z0"/>
    <w:rPr>
      <w:rFonts w:ascii="Times New Roman" w:eastAsia="Times New Roman" w:hAnsi="Times New Roman" w:cs="Times New Roman"/>
      <w:sz w:val="24"/>
      <w:szCs w:val="24"/>
      <w:highlight w:val="yellow"/>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sz w:val="24"/>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Domylnaczcionkaakapitu2">
    <w:name w:val="Domyślna czcionka akapitu2"/>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1">
    <w:name w:val="Domyślna czcionka akapitu1"/>
  </w:style>
  <w:style w:type="character" w:customStyle="1" w:styleId="Znakinumeracji">
    <w:name w:val="Znaki numeracji"/>
    <w:rPr>
      <w:rFonts w:ascii="Times New Roman" w:hAnsi="Times New Roman" w:cs="Times New Roman"/>
      <w:sz w:val="24"/>
      <w:szCs w:val="24"/>
    </w:rPr>
  </w:style>
  <w:style w:type="character" w:customStyle="1" w:styleId="Odwoaniedokomentarza1">
    <w:name w:val="Odwołanie do komentarza1"/>
    <w:rPr>
      <w:sz w:val="16"/>
      <w:szCs w:val="16"/>
    </w:rPr>
  </w:style>
  <w:style w:type="character" w:customStyle="1" w:styleId="TekstkomentarzaZnak">
    <w:name w:val="Tekst komentarza Znak"/>
    <w:rPr>
      <w:rFonts w:ascii="Calibri" w:eastAsia="Calibri" w:hAnsi="Calibri" w:cs="Arial"/>
      <w:lang w:eastAsia="zh-CN"/>
    </w:rPr>
  </w:style>
  <w:style w:type="character" w:customStyle="1" w:styleId="TematkomentarzaZnak">
    <w:name w:val="Temat komentarza Znak"/>
    <w:rPr>
      <w:rFonts w:ascii="Calibri" w:eastAsia="Calibri" w:hAnsi="Calibri" w:cs="Arial"/>
      <w:b/>
      <w:bCs/>
      <w:lang w:eastAsia="zh-CN"/>
    </w:rPr>
  </w:style>
  <w:style w:type="character" w:customStyle="1" w:styleId="TekstdymkaZnak">
    <w:name w:val="Tekst dymka Znak"/>
    <w:rPr>
      <w:rFonts w:ascii="Segoe UI" w:eastAsia="Calibri" w:hAnsi="Segoe UI" w:cs="Segoe UI"/>
      <w:sz w:val="18"/>
      <w:szCs w:val="18"/>
      <w:lang w:eastAsia="zh-CN"/>
    </w:rPr>
  </w:style>
  <w:style w:type="character" w:styleId="Hipercze">
    <w:name w:val="Hyperlink"/>
    <w:rPr>
      <w:color w:val="0000FF"/>
      <w:u w:val="single"/>
    </w:rPr>
  </w:style>
  <w:style w:type="character" w:styleId="Uwydatnienie">
    <w:name w:val="Emphasis"/>
    <w:qFormat/>
    <w:rPr>
      <w:i/>
      <w:iCs/>
    </w:rPr>
  </w:style>
  <w:style w:type="paragraph" w:customStyle="1" w:styleId="Nagwek2">
    <w:name w:val="Nagłówek2"/>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1">
    <w:name w:val="Nagłówek1"/>
    <w:basedOn w:val="Normalny"/>
    <w:next w:val="Tekstpodstawowy"/>
    <w:pPr>
      <w:keepNext/>
      <w:spacing w:before="240" w:after="120"/>
    </w:pPr>
    <w:rPr>
      <w:rFonts w:ascii="Liberation Sans" w:eastAsia="Microsoft YaHei" w:hAnsi="Liberation Sans" w:cs="Mangal"/>
      <w:sz w:val="28"/>
      <w:szCs w:val="28"/>
    </w:rPr>
  </w:style>
  <w:style w:type="paragraph" w:customStyle="1" w:styleId="Legenda1">
    <w:name w:val="Legenda1"/>
    <w:basedOn w:val="Normalny"/>
    <w:pPr>
      <w:suppressLineNumbers/>
      <w:spacing w:before="120" w:after="120"/>
    </w:pPr>
    <w:rPr>
      <w:rFonts w:cs="Mangal"/>
      <w:i/>
      <w:iCs/>
      <w:sz w:val="24"/>
      <w:szCs w:val="24"/>
    </w:rPr>
  </w:style>
  <w:style w:type="paragraph" w:styleId="Akapitzlist">
    <w:name w:val="List Paragraph"/>
    <w:basedOn w:val="Normalny"/>
    <w:qFormat/>
    <w:pPr>
      <w:ind w:left="708"/>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rPr>
      <w:rFonts w:ascii="Segoe UI" w:hAnsi="Segoe UI" w:cs="Segoe UI"/>
      <w:sz w:val="18"/>
      <w:szCs w:val="18"/>
    </w:rPr>
  </w:style>
  <w:style w:type="character" w:styleId="Odwoaniedokomentarza">
    <w:name w:val="annotation reference"/>
    <w:uiPriority w:val="99"/>
    <w:semiHidden/>
    <w:unhideWhenUsed/>
    <w:rsid w:val="006C4CBB"/>
    <w:rPr>
      <w:sz w:val="16"/>
      <w:szCs w:val="16"/>
    </w:rPr>
  </w:style>
  <w:style w:type="paragraph" w:styleId="Tekstkomentarza">
    <w:name w:val="annotation text"/>
    <w:basedOn w:val="Normalny"/>
    <w:link w:val="TekstkomentarzaZnak1"/>
    <w:uiPriority w:val="99"/>
    <w:semiHidden/>
    <w:unhideWhenUsed/>
    <w:rsid w:val="006C4CBB"/>
    <w:rPr>
      <w:rFonts w:cs="Times New Roman"/>
      <w:lang w:val="x-none"/>
    </w:rPr>
  </w:style>
  <w:style w:type="character" w:customStyle="1" w:styleId="TekstkomentarzaZnak1">
    <w:name w:val="Tekst komentarza Znak1"/>
    <w:link w:val="Tekstkomentarza"/>
    <w:uiPriority w:val="99"/>
    <w:semiHidden/>
    <w:rsid w:val="006C4CBB"/>
    <w:rPr>
      <w:rFonts w:ascii="Calibri" w:eastAsia="Calibri" w:hAnsi="Calibri" w:cs="Arial"/>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654265">
      <w:bodyDiv w:val="1"/>
      <w:marLeft w:val="0"/>
      <w:marRight w:val="0"/>
      <w:marTop w:val="0"/>
      <w:marBottom w:val="0"/>
      <w:divBdr>
        <w:top w:val="none" w:sz="0" w:space="0" w:color="auto"/>
        <w:left w:val="none" w:sz="0" w:space="0" w:color="auto"/>
        <w:bottom w:val="none" w:sz="0" w:space="0" w:color="auto"/>
        <w:right w:val="none" w:sz="0" w:space="0" w:color="auto"/>
      </w:divBdr>
      <w:divsChild>
        <w:div w:id="1220675091">
          <w:marLeft w:val="0"/>
          <w:marRight w:val="0"/>
          <w:marTop w:val="72"/>
          <w:marBottom w:val="0"/>
          <w:divBdr>
            <w:top w:val="none" w:sz="0" w:space="0" w:color="auto"/>
            <w:left w:val="none" w:sz="0" w:space="0" w:color="auto"/>
            <w:bottom w:val="none" w:sz="0" w:space="0" w:color="auto"/>
            <w:right w:val="none" w:sz="0" w:space="0" w:color="auto"/>
          </w:divBdr>
        </w:div>
        <w:div w:id="2038846588">
          <w:marLeft w:val="0"/>
          <w:marRight w:val="0"/>
          <w:marTop w:val="72"/>
          <w:marBottom w:val="0"/>
          <w:divBdr>
            <w:top w:val="none" w:sz="0" w:space="0" w:color="auto"/>
            <w:left w:val="none" w:sz="0" w:space="0" w:color="auto"/>
            <w:bottom w:val="none" w:sz="0" w:space="0" w:color="auto"/>
            <w:right w:val="none" w:sz="0" w:space="0" w:color="auto"/>
          </w:divBdr>
        </w:div>
        <w:div w:id="2080589819">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75E53-8A9E-4C23-BC15-069F92E71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1626</Words>
  <Characters>9758</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do Zarządzenia Nr 47/2020 Dyrektora Miejskiego Ośrodka Pomocy Społecznej w Sopocie</dc:title>
  <dc:subject/>
  <dc:creator>Andrzej Rozkowiński</dc:creator>
  <cp:keywords/>
  <cp:lastModifiedBy>Marzena Smok</cp:lastModifiedBy>
  <cp:revision>7</cp:revision>
  <cp:lastPrinted>2020-12-04T09:55:00Z</cp:lastPrinted>
  <dcterms:created xsi:type="dcterms:W3CDTF">2020-12-04T09:54:00Z</dcterms:created>
  <dcterms:modified xsi:type="dcterms:W3CDTF">2020-12-04T12:55:00Z</dcterms:modified>
</cp:coreProperties>
</file>