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49B7836" w14:textId="6779B385" w:rsidR="005F3C66" w:rsidRPr="00F83B65" w:rsidRDefault="005F3C66" w:rsidP="005F3C66">
      <w:pPr>
        <w:spacing w:line="360" w:lineRule="auto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                                                                                                                      </w:t>
      </w:r>
      <w:r w:rsidRPr="00F83B65">
        <w:rPr>
          <w:rFonts w:asciiTheme="majorHAnsi" w:hAnsiTheme="majorHAnsi" w:cstheme="majorHAnsi"/>
        </w:rPr>
        <w:t xml:space="preserve">Sopot, dnia </w:t>
      </w:r>
      <w:r>
        <w:rPr>
          <w:rFonts w:asciiTheme="majorHAnsi" w:hAnsiTheme="majorHAnsi" w:cstheme="majorHAnsi"/>
        </w:rPr>
        <w:t>30</w:t>
      </w:r>
      <w:r w:rsidRPr="00F83B65">
        <w:rPr>
          <w:rFonts w:asciiTheme="majorHAnsi" w:hAnsiTheme="majorHAnsi" w:cstheme="majorHAnsi"/>
        </w:rPr>
        <w:t>.1</w:t>
      </w:r>
      <w:r>
        <w:rPr>
          <w:rFonts w:asciiTheme="majorHAnsi" w:hAnsiTheme="majorHAnsi" w:cstheme="majorHAnsi"/>
        </w:rPr>
        <w:t>0</w:t>
      </w:r>
      <w:r w:rsidRPr="00F83B65">
        <w:rPr>
          <w:rFonts w:asciiTheme="majorHAnsi" w:hAnsiTheme="majorHAnsi" w:cstheme="majorHAnsi"/>
        </w:rPr>
        <w:t>.202</w:t>
      </w:r>
      <w:r>
        <w:rPr>
          <w:rFonts w:asciiTheme="majorHAnsi" w:hAnsiTheme="majorHAnsi" w:cstheme="majorHAnsi"/>
        </w:rPr>
        <w:t>4</w:t>
      </w:r>
      <w:r w:rsidRPr="00F83B65">
        <w:rPr>
          <w:rFonts w:asciiTheme="majorHAnsi" w:hAnsiTheme="majorHAnsi" w:cstheme="majorHAnsi"/>
        </w:rPr>
        <w:t>r.</w:t>
      </w:r>
    </w:p>
    <w:p w14:paraId="6B5F8FAC" w14:textId="0597908C" w:rsidR="005F3C66" w:rsidRPr="00F83B65" w:rsidRDefault="005F3C66" w:rsidP="005F3C66">
      <w:pPr>
        <w:suppressAutoHyphens/>
        <w:autoSpaceDN w:val="0"/>
        <w:spacing w:after="200" w:line="276" w:lineRule="auto"/>
        <w:textAlignment w:val="baseline"/>
        <w:rPr>
          <w:rFonts w:asciiTheme="majorHAnsi" w:hAnsiTheme="majorHAnsi" w:cstheme="majorHAnsi"/>
        </w:rPr>
      </w:pPr>
      <w:proofErr w:type="spellStart"/>
      <w:r w:rsidRPr="00F83B65">
        <w:rPr>
          <w:rStyle w:val="Uwydatnienie"/>
          <w:rFonts w:asciiTheme="majorHAnsi" w:hAnsiTheme="majorHAnsi" w:cstheme="majorHAnsi"/>
        </w:rPr>
        <w:t>ozn</w:t>
      </w:r>
      <w:proofErr w:type="spellEnd"/>
      <w:r w:rsidRPr="00F83B65">
        <w:rPr>
          <w:rStyle w:val="Uwydatnienie"/>
          <w:rFonts w:asciiTheme="majorHAnsi" w:hAnsiTheme="majorHAnsi" w:cstheme="majorHAnsi"/>
        </w:rPr>
        <w:t xml:space="preserve">. Sprawy </w:t>
      </w:r>
      <w:r w:rsidRPr="00F83B65">
        <w:rPr>
          <w:rFonts w:asciiTheme="majorHAnsi" w:hAnsiTheme="majorHAnsi" w:cstheme="majorHAnsi"/>
        </w:rPr>
        <w:t>DzPS.271.1.</w:t>
      </w:r>
      <w:r>
        <w:rPr>
          <w:rFonts w:asciiTheme="majorHAnsi" w:hAnsiTheme="majorHAnsi" w:cstheme="majorHAnsi"/>
        </w:rPr>
        <w:t>3.</w:t>
      </w:r>
      <w:r w:rsidRPr="00F83B65">
        <w:rPr>
          <w:rFonts w:asciiTheme="majorHAnsi" w:hAnsiTheme="majorHAnsi" w:cstheme="majorHAnsi"/>
        </w:rPr>
        <w:t>202</w:t>
      </w:r>
      <w:r>
        <w:rPr>
          <w:rFonts w:asciiTheme="majorHAnsi" w:hAnsiTheme="majorHAnsi" w:cstheme="majorHAnsi"/>
        </w:rPr>
        <w:t>4</w:t>
      </w:r>
    </w:p>
    <w:p w14:paraId="4C17B471" w14:textId="77777777" w:rsidR="005F3C66" w:rsidRPr="002459EA" w:rsidRDefault="005F3C66" w:rsidP="005F3C66">
      <w:pPr>
        <w:spacing w:after="360" w:line="360" w:lineRule="auto"/>
        <w:rPr>
          <w:rFonts w:ascii="Arial" w:hAnsi="Arial" w:cs="Arial"/>
          <w:b/>
        </w:rPr>
      </w:pPr>
      <w:r w:rsidRPr="002459EA">
        <w:rPr>
          <w:rFonts w:ascii="Arial" w:hAnsi="Arial" w:cs="Arial"/>
          <w:b/>
        </w:rPr>
        <w:t>Do</w:t>
      </w:r>
      <w:r>
        <w:rPr>
          <w:rFonts w:ascii="Arial" w:hAnsi="Arial" w:cs="Arial"/>
          <w:b/>
        </w:rPr>
        <w:t xml:space="preserve">: </w:t>
      </w:r>
      <w:r w:rsidRPr="002459EA">
        <w:rPr>
          <w:rFonts w:ascii="Arial" w:hAnsi="Arial" w:cs="Arial"/>
          <w:b/>
        </w:rPr>
        <w:t xml:space="preserve">Wszyscy </w:t>
      </w:r>
      <w:r>
        <w:rPr>
          <w:rFonts w:ascii="Arial" w:hAnsi="Arial" w:cs="Arial"/>
          <w:b/>
        </w:rPr>
        <w:t>Wykonawcy</w:t>
      </w:r>
      <w:r w:rsidRPr="002459EA">
        <w:rPr>
          <w:rFonts w:ascii="Arial" w:hAnsi="Arial" w:cs="Arial"/>
          <w:b/>
        </w:rPr>
        <w:t xml:space="preserve"> biorący udział w postępowaniu</w:t>
      </w:r>
    </w:p>
    <w:p w14:paraId="44722FBD" w14:textId="0D919CE1" w:rsidR="005F3C66" w:rsidRPr="001A31C3" w:rsidRDefault="005F3C66" w:rsidP="001A31C3">
      <w:pPr>
        <w:pStyle w:val="Nagwek1"/>
        <w:rPr>
          <w:rStyle w:val="Pogrubienie"/>
          <w:b/>
        </w:rPr>
      </w:pPr>
      <w:r w:rsidRPr="001A31C3">
        <w:rPr>
          <w:rStyle w:val="Pogrubienie"/>
        </w:rPr>
        <w:t>Uzupełnienie w SWZ wzoru umowy o waloryzację wynagrodzenia</w:t>
      </w:r>
    </w:p>
    <w:p w14:paraId="6B9E3395" w14:textId="77777777" w:rsidR="005F3C66" w:rsidRPr="000E49DC" w:rsidRDefault="005F3C66" w:rsidP="005F3C66">
      <w:pPr>
        <w:tabs>
          <w:tab w:val="center" w:pos="4536"/>
          <w:tab w:val="left" w:pos="6945"/>
        </w:tabs>
        <w:spacing w:after="60" w:line="276" w:lineRule="auto"/>
        <w:rPr>
          <w:rFonts w:ascii="Tahoma" w:hAnsi="Tahoma" w:cs="Tahoma"/>
          <w:b/>
          <w:bCs/>
        </w:rPr>
      </w:pPr>
      <w:r w:rsidRPr="000E49DC">
        <w:rPr>
          <w:rFonts w:ascii="Tahoma" w:hAnsi="Tahoma" w:cs="Tahoma"/>
          <w:b/>
        </w:rPr>
        <w:t>Dotyczy:</w:t>
      </w:r>
      <w:r w:rsidRPr="000E49DC">
        <w:rPr>
          <w:rFonts w:ascii="Tahoma" w:hAnsi="Tahoma" w:cs="Tahoma"/>
        </w:rPr>
        <w:t xml:space="preserve"> postępowania o udzielenie zamówienia publicznego prowadzonego na podstawie art. 359 pkt 2 w trybie podstawowym art. 275 pkt. 1 ustawy pn.:  </w:t>
      </w:r>
      <w:r w:rsidRPr="000E49DC">
        <w:rPr>
          <w:rFonts w:ascii="Tahoma" w:hAnsi="Tahoma" w:cs="Tahoma"/>
          <w:b/>
          <w:bCs/>
        </w:rPr>
        <w:t>Zapewnienie schronienia i wyżywienia osobom bezdomnym, klientom Miejskiego Ośrodka Pomocy Społecznej w Sopocie</w:t>
      </w:r>
    </w:p>
    <w:p w14:paraId="2F2DD7BC" w14:textId="77777777" w:rsidR="005F3C66" w:rsidRPr="000E49DC" w:rsidRDefault="005F3C66" w:rsidP="005F3C66">
      <w:pPr>
        <w:spacing w:after="240" w:line="360" w:lineRule="auto"/>
        <w:rPr>
          <w:rStyle w:val="Pogrubienie"/>
          <w:rFonts w:ascii="Tahoma" w:hAnsi="Tahoma" w:cs="Tahoma"/>
        </w:rPr>
      </w:pPr>
    </w:p>
    <w:p w14:paraId="0CBA23D6" w14:textId="1F09EBC9" w:rsidR="005F3C66" w:rsidRPr="000E49DC" w:rsidRDefault="005F3C66" w:rsidP="005F3C66">
      <w:pPr>
        <w:tabs>
          <w:tab w:val="center" w:pos="4536"/>
          <w:tab w:val="left" w:pos="6945"/>
        </w:tabs>
        <w:spacing w:after="60" w:line="276" w:lineRule="auto"/>
        <w:rPr>
          <w:rFonts w:ascii="Tahoma" w:hAnsi="Tahoma" w:cs="Tahoma"/>
        </w:rPr>
      </w:pPr>
      <w:r w:rsidRPr="000E49DC">
        <w:rPr>
          <w:rStyle w:val="Pogrubienie"/>
          <w:rFonts w:ascii="Tahoma" w:hAnsi="Tahoma" w:cs="Tahoma"/>
        </w:rPr>
        <w:t xml:space="preserve">Zamawiający, </w:t>
      </w:r>
      <w:r w:rsidRPr="000E49DC">
        <w:rPr>
          <w:rFonts w:ascii="Tahoma" w:hAnsi="Tahoma" w:cs="Tahoma"/>
        </w:rPr>
        <w:t xml:space="preserve">Gmina Miasta Sopotu, ul. Tadeusza Kościuszki 25/27, 81-704 Sopot w imieniu której działa Miejski Ośrodek Pomocy Społecznej; 81 – 835 Sopot ul. Kolejowa 14, </w:t>
      </w:r>
      <w:r w:rsidRPr="000E49DC">
        <w:rPr>
          <w:rFonts w:ascii="Tahoma" w:hAnsi="Tahoma" w:cs="Tahoma"/>
        </w:rPr>
        <w:br/>
      </w:r>
      <w:r w:rsidRPr="000E49DC">
        <w:rPr>
          <w:rFonts w:ascii="Tahoma" w:hAnsi="Tahoma" w:cs="Tahoma"/>
          <w:b/>
        </w:rPr>
        <w:t xml:space="preserve"> </w:t>
      </w:r>
      <w:r w:rsidRPr="000E49DC">
        <w:rPr>
          <w:rFonts w:ascii="Tahoma" w:hAnsi="Tahoma" w:cs="Tahoma"/>
        </w:rPr>
        <w:t>działając na podstawie art. 137 ust. 1 ustawy z dnia 11 września 2019 roku Prawo Zamówień Publicznych ( Dz.U. z 2024 r ., poz. 1320 ze zm.), zwanej dalej „ustawą Pzp” uzupełnia wzór umowy w SWZ  na:</w:t>
      </w:r>
      <w:r w:rsidRPr="000E49DC">
        <w:rPr>
          <w:rFonts w:ascii="Tahoma" w:hAnsi="Tahoma" w:cs="Tahoma"/>
          <w:b/>
          <w:bCs/>
        </w:rPr>
        <w:t xml:space="preserve"> „Zapewnienie schronienia i wyżywienia osobom bezdomnym, klientom Miejskiego Ośrodka Pomocy Społecznej w Sopocie”  </w:t>
      </w:r>
      <w:r w:rsidRPr="000E49DC">
        <w:rPr>
          <w:rFonts w:ascii="Tahoma" w:hAnsi="Tahoma" w:cs="Tahoma"/>
        </w:rPr>
        <w:t>o zapisy  waloryzacji wynagrodzenia</w:t>
      </w:r>
      <w:r w:rsidRPr="000E49DC">
        <w:rPr>
          <w:rFonts w:ascii="Tahoma" w:hAnsi="Tahoma" w:cs="Tahoma"/>
          <w:b/>
          <w:bCs/>
        </w:rPr>
        <w:t xml:space="preserve"> </w:t>
      </w:r>
      <w:r w:rsidR="000E49DC" w:rsidRPr="000E49DC">
        <w:rPr>
          <w:rFonts w:ascii="Tahoma" w:hAnsi="Tahoma" w:cs="Tahoma"/>
        </w:rPr>
        <w:t>wg poniższego zapisu:</w:t>
      </w:r>
    </w:p>
    <w:p w14:paraId="62AB57C6" w14:textId="77777777" w:rsidR="000E49DC" w:rsidRPr="000E49DC" w:rsidRDefault="000E49DC" w:rsidP="000E49DC">
      <w:pPr>
        <w:autoSpaceDE w:val="0"/>
        <w:autoSpaceDN w:val="0"/>
        <w:adjustRightInd w:val="0"/>
        <w:spacing w:line="276" w:lineRule="auto"/>
        <w:ind w:left="709" w:hanging="360"/>
        <w:rPr>
          <w:rFonts w:ascii="Tahoma" w:hAnsi="Tahoma" w:cs="Tahoma"/>
          <w:color w:val="000000"/>
        </w:rPr>
      </w:pPr>
      <w:r w:rsidRPr="000E49DC">
        <w:rPr>
          <w:rFonts w:ascii="Tahoma" w:hAnsi="Tahoma" w:cs="Tahoma"/>
          <w:color w:val="000000"/>
        </w:rPr>
        <w:t>W załączniku nr 5a do SWZ w sprawie o nr DzPS.271.1.3.2024 uzupełnia się o treść paragrafu § 8¹ w brzmieniu:</w:t>
      </w:r>
    </w:p>
    <w:p w14:paraId="62533DC4" w14:textId="77777777" w:rsidR="000E49DC" w:rsidRPr="000E49DC" w:rsidRDefault="000E49DC" w:rsidP="000E49DC">
      <w:pPr>
        <w:autoSpaceDE w:val="0"/>
        <w:autoSpaceDN w:val="0"/>
        <w:adjustRightInd w:val="0"/>
        <w:spacing w:line="276" w:lineRule="auto"/>
        <w:ind w:left="709" w:hanging="360"/>
        <w:rPr>
          <w:rFonts w:ascii="Tahoma" w:hAnsi="Tahoma" w:cs="Tahoma"/>
          <w:color w:val="000000"/>
        </w:rPr>
      </w:pPr>
      <w:r w:rsidRPr="000E49DC">
        <w:rPr>
          <w:rFonts w:ascii="Tahoma" w:hAnsi="Tahoma" w:cs="Tahoma"/>
          <w:color w:val="000000"/>
        </w:rPr>
        <w:t>„ § 8¹</w:t>
      </w:r>
    </w:p>
    <w:p w14:paraId="2E756531" w14:textId="77777777" w:rsidR="000E49DC" w:rsidRPr="000E49DC" w:rsidRDefault="000E49DC" w:rsidP="000E49DC">
      <w:pPr>
        <w:numPr>
          <w:ilvl w:val="3"/>
          <w:numId w:val="1"/>
        </w:numPr>
        <w:autoSpaceDE w:val="0"/>
        <w:autoSpaceDN w:val="0"/>
        <w:adjustRightInd w:val="0"/>
        <w:spacing w:after="160" w:line="259" w:lineRule="auto"/>
        <w:ind w:left="709"/>
        <w:rPr>
          <w:rFonts w:ascii="Tahoma" w:hAnsi="Tahoma" w:cs="Tahoma"/>
          <w:color w:val="000000"/>
        </w:rPr>
      </w:pPr>
      <w:r w:rsidRPr="000E49DC">
        <w:rPr>
          <w:rFonts w:ascii="Tahoma" w:hAnsi="Tahoma" w:cs="Tahoma"/>
          <w:color w:val="000000"/>
        </w:rPr>
        <w:t>„Na zasadzie art. 439 ust. 1 ustawy Prawo zamówień publicznych, w przypadku zmiany ceny materiałów lub kosztów związanych z realizacją zamówienia, Strony dopuszczają zmianę wynagrodzenia umownego Wykonawcy wskazanego w § 8 jeśli zmiana ta miała wpływ na realizację usług objętych przedmiotem umowy (dalej także jako: „waloryzacja wynagrodzenia”).</w:t>
      </w:r>
    </w:p>
    <w:p w14:paraId="68B7CC3C" w14:textId="77777777" w:rsidR="000E49DC" w:rsidRPr="000E49DC" w:rsidRDefault="000E49DC" w:rsidP="000E49DC">
      <w:pPr>
        <w:numPr>
          <w:ilvl w:val="3"/>
          <w:numId w:val="1"/>
        </w:numPr>
        <w:autoSpaceDE w:val="0"/>
        <w:autoSpaceDN w:val="0"/>
        <w:adjustRightInd w:val="0"/>
        <w:spacing w:after="160" w:line="259" w:lineRule="auto"/>
        <w:ind w:left="709"/>
        <w:rPr>
          <w:rFonts w:ascii="Tahoma" w:hAnsi="Tahoma" w:cs="Tahoma"/>
          <w:color w:val="000000"/>
        </w:rPr>
      </w:pPr>
      <w:r w:rsidRPr="000E49DC">
        <w:rPr>
          <w:rFonts w:ascii="Tahoma" w:hAnsi="Tahoma" w:cs="Tahoma"/>
          <w:color w:val="000000"/>
        </w:rPr>
        <w:t xml:space="preserve"> Waloryzacja wynagrodzenia będzie odbywać się na podstawie odesłania do prognozowanego średniorocznego wskaźnika cen towarów i usług konsumpcyjnych ogółem, na podstawie komunikatu Prezesa GUS w stosunku do roku ubiegłego.</w:t>
      </w:r>
    </w:p>
    <w:p w14:paraId="6E2305EA" w14:textId="77777777" w:rsidR="000E49DC" w:rsidRPr="000E49DC" w:rsidRDefault="000E49DC" w:rsidP="000E49DC">
      <w:pPr>
        <w:numPr>
          <w:ilvl w:val="3"/>
          <w:numId w:val="1"/>
        </w:numPr>
        <w:autoSpaceDE w:val="0"/>
        <w:autoSpaceDN w:val="0"/>
        <w:adjustRightInd w:val="0"/>
        <w:spacing w:after="160" w:line="259" w:lineRule="auto"/>
        <w:ind w:left="709"/>
        <w:rPr>
          <w:rFonts w:ascii="Tahoma" w:hAnsi="Tahoma" w:cs="Tahoma"/>
          <w:color w:val="000000"/>
        </w:rPr>
      </w:pPr>
      <w:r w:rsidRPr="000E49DC">
        <w:rPr>
          <w:rFonts w:ascii="Tahoma" w:hAnsi="Tahoma" w:cs="Tahoma"/>
          <w:color w:val="000000"/>
        </w:rPr>
        <w:t xml:space="preserve"> W sytuacji gdy wspomniany wskaźnik (tj. wzrost cen) osiągnie wysokość ponad 5,75%, Strony uprawnione są do żądania zmiany wynagrodzenia do 3 % wartości wynagrodzenia wskazanego w § 8. </w:t>
      </w:r>
    </w:p>
    <w:p w14:paraId="50A6E655" w14:textId="77777777" w:rsidR="000E49DC" w:rsidRPr="000E49DC" w:rsidRDefault="000E49DC" w:rsidP="000E49DC">
      <w:pPr>
        <w:numPr>
          <w:ilvl w:val="3"/>
          <w:numId w:val="1"/>
        </w:numPr>
        <w:autoSpaceDE w:val="0"/>
        <w:autoSpaceDN w:val="0"/>
        <w:adjustRightInd w:val="0"/>
        <w:spacing w:after="160" w:line="259" w:lineRule="auto"/>
        <w:ind w:left="709"/>
        <w:rPr>
          <w:rFonts w:ascii="Tahoma" w:hAnsi="Tahoma" w:cs="Tahoma"/>
          <w:color w:val="000000"/>
        </w:rPr>
      </w:pPr>
      <w:r w:rsidRPr="000E49DC">
        <w:rPr>
          <w:rFonts w:ascii="Tahoma" w:hAnsi="Tahoma" w:cs="Tahoma"/>
          <w:color w:val="000000"/>
        </w:rPr>
        <w:lastRenderedPageBreak/>
        <w:t>Termin waloryzacji wynagrodzenia ustala się na dzień złożonego i zaakceptowanego wniosku przez Strony o waloryzację wynagrodzenia umownego.</w:t>
      </w:r>
    </w:p>
    <w:p w14:paraId="2DDF1C54" w14:textId="77777777" w:rsidR="000E49DC" w:rsidRPr="000E49DC" w:rsidRDefault="000E49DC" w:rsidP="000E49DC">
      <w:pPr>
        <w:numPr>
          <w:ilvl w:val="3"/>
          <w:numId w:val="1"/>
        </w:numPr>
        <w:autoSpaceDE w:val="0"/>
        <w:autoSpaceDN w:val="0"/>
        <w:adjustRightInd w:val="0"/>
        <w:spacing w:after="160" w:line="259" w:lineRule="auto"/>
        <w:ind w:left="709"/>
        <w:rPr>
          <w:rFonts w:ascii="Tahoma" w:hAnsi="Tahoma" w:cs="Tahoma"/>
          <w:color w:val="000000"/>
        </w:rPr>
      </w:pPr>
      <w:r w:rsidRPr="000E49DC">
        <w:rPr>
          <w:rFonts w:ascii="Tahoma" w:hAnsi="Tahoma" w:cs="Tahoma"/>
          <w:color w:val="000000"/>
        </w:rPr>
        <w:t>Waloryzacja wynagrodzenia dopuszczona jest jeden raz w roku kalendarzowym. Pierwsza waloryzacja może nastąpić po upływie 6 miesięcy od dnia podpisania umowy, przy spełnieniu wszystkich wymogów opisanych w niniejszej umowie.</w:t>
      </w:r>
    </w:p>
    <w:p w14:paraId="634E8700" w14:textId="77777777" w:rsidR="000E49DC" w:rsidRPr="000E49DC" w:rsidRDefault="000E49DC" w:rsidP="000E49DC">
      <w:pPr>
        <w:numPr>
          <w:ilvl w:val="3"/>
          <w:numId w:val="1"/>
        </w:numPr>
        <w:autoSpaceDE w:val="0"/>
        <w:autoSpaceDN w:val="0"/>
        <w:adjustRightInd w:val="0"/>
        <w:spacing w:after="160" w:line="259" w:lineRule="auto"/>
        <w:ind w:left="709"/>
        <w:rPr>
          <w:rFonts w:ascii="Tahoma" w:hAnsi="Tahoma" w:cs="Tahoma"/>
          <w:color w:val="000000"/>
        </w:rPr>
      </w:pPr>
      <w:r w:rsidRPr="000E49DC">
        <w:rPr>
          <w:rFonts w:ascii="Tahoma" w:hAnsi="Tahoma" w:cs="Tahoma"/>
          <w:color w:val="000000"/>
        </w:rPr>
        <w:t xml:space="preserve"> Waloryzacja wynagrodzenia może nastąpić pod warunkiem, że zmiana cen związanych z realizacją zamówienia ma rzeczywisty wpływ na koszt wykonania niniejszej umowy. </w:t>
      </w:r>
    </w:p>
    <w:p w14:paraId="569DE596" w14:textId="77777777" w:rsidR="000E49DC" w:rsidRPr="000E49DC" w:rsidRDefault="000E49DC" w:rsidP="000E49DC">
      <w:pPr>
        <w:numPr>
          <w:ilvl w:val="3"/>
          <w:numId w:val="1"/>
        </w:numPr>
        <w:autoSpaceDE w:val="0"/>
        <w:autoSpaceDN w:val="0"/>
        <w:adjustRightInd w:val="0"/>
        <w:spacing w:after="160" w:line="259" w:lineRule="auto"/>
        <w:ind w:left="709"/>
        <w:rPr>
          <w:rFonts w:ascii="Tahoma" w:hAnsi="Tahoma" w:cs="Tahoma"/>
          <w:color w:val="000000"/>
        </w:rPr>
      </w:pPr>
      <w:r w:rsidRPr="000E49DC">
        <w:rPr>
          <w:rFonts w:ascii="Tahoma" w:hAnsi="Tahoma" w:cs="Tahoma"/>
          <w:color w:val="000000"/>
        </w:rPr>
        <w:t>Wykazanie wpływu zmiany ceny materiałów lub kosztów, o których mowa w ust. 6 niniejszego paragrafu na koszt wykonania zamówienia należy do Strony wnioskującej, pod rygorem odmowy dokonania zmiany umowy.</w:t>
      </w:r>
    </w:p>
    <w:p w14:paraId="027D9C7D" w14:textId="77777777" w:rsidR="000E49DC" w:rsidRPr="000E49DC" w:rsidRDefault="000E49DC" w:rsidP="000E49DC">
      <w:pPr>
        <w:numPr>
          <w:ilvl w:val="3"/>
          <w:numId w:val="1"/>
        </w:numPr>
        <w:autoSpaceDE w:val="0"/>
        <w:autoSpaceDN w:val="0"/>
        <w:adjustRightInd w:val="0"/>
        <w:spacing w:after="160" w:line="259" w:lineRule="auto"/>
        <w:ind w:left="709"/>
        <w:rPr>
          <w:rFonts w:ascii="Tahoma" w:hAnsi="Tahoma" w:cs="Tahoma"/>
          <w:color w:val="000000"/>
        </w:rPr>
      </w:pPr>
      <w:r w:rsidRPr="000E49DC">
        <w:rPr>
          <w:rFonts w:ascii="Tahoma" w:hAnsi="Tahoma" w:cs="Tahoma"/>
          <w:color w:val="000000"/>
        </w:rPr>
        <w:t xml:space="preserve"> W sytuacji wystąpienia okoliczności uprawniających do zmiany wynagrodzenia, Wykonawca jest uprawniony do złożenia pisemnego wniosku o zmianę umowy w zakresie płatności dotyczących okresu, za który waloryzacja ma nastąpić. Wniosek powinien zawierać wyczerpujące uzasadnienie faktyczne i wskazanie odpowiedniego wskaźnika GUS, będącego podstawa takiego żądania wraz z potwierdzeniem, że nastąpiła jego zmiana uzasadniająca żądanie. Ponadto wraz z wnioskiem należy podać dokładne wyliczenie kwoty wynagrodzenia po zmianie umowy, w szczególności należy wykazać związek pomiędzy wnioskowaną kwotą zmiany wynagrodzenia a wpływem zmiany kosztów realizacji umowy na kalkulację wynagrodzenia. Ponadto w przypadku żądania podwyższenia wynagrodzenia należy również przedstawić dowody ich poniesienia w zwiększonej wysokości.”</w:t>
      </w:r>
    </w:p>
    <w:p w14:paraId="27E91797" w14:textId="77777777" w:rsidR="000E49DC" w:rsidRPr="000E49DC" w:rsidRDefault="000E49DC" w:rsidP="000E49DC">
      <w:pPr>
        <w:autoSpaceDE w:val="0"/>
        <w:autoSpaceDN w:val="0"/>
        <w:adjustRightInd w:val="0"/>
        <w:rPr>
          <w:rFonts w:ascii="Tahoma" w:hAnsi="Tahoma" w:cs="Tahoma"/>
          <w:color w:val="000000"/>
        </w:rPr>
      </w:pPr>
    </w:p>
    <w:p w14:paraId="343ACDD5" w14:textId="77777777" w:rsidR="000E49DC" w:rsidRPr="000E49DC" w:rsidRDefault="000E49DC" w:rsidP="000E49DC">
      <w:pPr>
        <w:autoSpaceDE w:val="0"/>
        <w:autoSpaceDN w:val="0"/>
        <w:adjustRightInd w:val="0"/>
        <w:rPr>
          <w:rFonts w:ascii="Tahoma" w:hAnsi="Tahoma" w:cs="Tahoma"/>
          <w:color w:val="000000"/>
        </w:rPr>
      </w:pPr>
    </w:p>
    <w:p w14:paraId="4EF723EB" w14:textId="77777777" w:rsidR="000E49DC" w:rsidRPr="000E49DC" w:rsidRDefault="000E49DC" w:rsidP="000E49DC">
      <w:pPr>
        <w:autoSpaceDE w:val="0"/>
        <w:autoSpaceDN w:val="0"/>
        <w:adjustRightInd w:val="0"/>
        <w:rPr>
          <w:rFonts w:ascii="Tahoma" w:hAnsi="Tahoma" w:cs="Tahoma"/>
          <w:color w:val="000000"/>
        </w:rPr>
      </w:pPr>
      <w:r w:rsidRPr="000E49DC">
        <w:rPr>
          <w:rFonts w:ascii="Tahoma" w:hAnsi="Tahoma" w:cs="Tahoma"/>
          <w:color w:val="000000"/>
        </w:rPr>
        <w:t>W załączniku  nr 5b do SWZ w sprawie o nr DzPS.271.1.3.2024 uzupełnia się o treść paragrafu § 4¹ w brzmieniu:</w:t>
      </w:r>
    </w:p>
    <w:p w14:paraId="7A29C968" w14:textId="77777777" w:rsidR="000E49DC" w:rsidRPr="000E49DC" w:rsidRDefault="000E49DC" w:rsidP="000E49DC">
      <w:pPr>
        <w:autoSpaceDE w:val="0"/>
        <w:autoSpaceDN w:val="0"/>
        <w:adjustRightInd w:val="0"/>
        <w:rPr>
          <w:rFonts w:ascii="Tahoma" w:hAnsi="Tahoma" w:cs="Tahoma"/>
          <w:color w:val="000000"/>
        </w:rPr>
      </w:pPr>
    </w:p>
    <w:p w14:paraId="30208F39" w14:textId="77777777" w:rsidR="000E49DC" w:rsidRPr="000E49DC" w:rsidRDefault="000E49DC" w:rsidP="000E49DC">
      <w:pPr>
        <w:autoSpaceDE w:val="0"/>
        <w:autoSpaceDN w:val="0"/>
        <w:adjustRightInd w:val="0"/>
        <w:rPr>
          <w:rFonts w:ascii="Tahoma" w:hAnsi="Tahoma" w:cs="Tahoma"/>
          <w:color w:val="000000"/>
        </w:rPr>
      </w:pPr>
      <w:r w:rsidRPr="000E49DC">
        <w:rPr>
          <w:rFonts w:ascii="Tahoma" w:hAnsi="Tahoma" w:cs="Tahoma"/>
          <w:color w:val="000000"/>
        </w:rPr>
        <w:t>„§ 4¹</w:t>
      </w:r>
    </w:p>
    <w:p w14:paraId="6C233BAC" w14:textId="77777777" w:rsidR="000E49DC" w:rsidRPr="000E49DC" w:rsidRDefault="000E49DC" w:rsidP="000E49DC">
      <w:pPr>
        <w:numPr>
          <w:ilvl w:val="0"/>
          <w:numId w:val="2"/>
        </w:numPr>
        <w:autoSpaceDE w:val="0"/>
        <w:autoSpaceDN w:val="0"/>
        <w:adjustRightInd w:val="0"/>
        <w:spacing w:after="160" w:line="259" w:lineRule="auto"/>
        <w:ind w:left="709"/>
        <w:rPr>
          <w:rFonts w:ascii="Tahoma" w:hAnsi="Tahoma" w:cs="Tahoma"/>
          <w:color w:val="000000"/>
        </w:rPr>
      </w:pPr>
      <w:r w:rsidRPr="000E49DC">
        <w:rPr>
          <w:rFonts w:ascii="Tahoma" w:hAnsi="Tahoma" w:cs="Tahoma"/>
          <w:color w:val="000000"/>
        </w:rPr>
        <w:t>Na zasadzie art. 439 ust. 1 ustawy Prawo zamówień publicznych, w przypadku zmiany ceny materiałów lub kosztów związanych z realizacją zamówienia, Strony dopuszczają zmianę wynagrodzenia umownego Wykonawcy wskazanego w § 4 jeśli zmiana ta miała wpływ na realizację usług objętych przedmiotem umowy (dalej także jako: „waloryzacja wynagrodzenia”).</w:t>
      </w:r>
    </w:p>
    <w:p w14:paraId="1EB517A5" w14:textId="77777777" w:rsidR="000E49DC" w:rsidRPr="000E49DC" w:rsidRDefault="000E49DC" w:rsidP="000E49DC">
      <w:pPr>
        <w:numPr>
          <w:ilvl w:val="0"/>
          <w:numId w:val="2"/>
        </w:numPr>
        <w:autoSpaceDE w:val="0"/>
        <w:autoSpaceDN w:val="0"/>
        <w:adjustRightInd w:val="0"/>
        <w:spacing w:after="160" w:line="259" w:lineRule="auto"/>
        <w:ind w:left="709"/>
        <w:rPr>
          <w:rFonts w:ascii="Tahoma" w:hAnsi="Tahoma" w:cs="Tahoma"/>
          <w:color w:val="000000"/>
        </w:rPr>
      </w:pPr>
      <w:r w:rsidRPr="000E49DC">
        <w:rPr>
          <w:rFonts w:ascii="Tahoma" w:hAnsi="Tahoma" w:cs="Tahoma"/>
          <w:color w:val="000000"/>
        </w:rPr>
        <w:t xml:space="preserve"> Waloryzacja wynagrodzenia będzie odbywać się na podstawie odesłania do prognozowanego średniorocznego wskaźnika cen towarów i usług konsumpcyjnych ogółem, na podstawie komunikatu Prezesa GUS w stosunku do roku ubiegłego.</w:t>
      </w:r>
    </w:p>
    <w:p w14:paraId="2458C69F" w14:textId="77777777" w:rsidR="000E49DC" w:rsidRPr="000E49DC" w:rsidRDefault="000E49DC" w:rsidP="000E49DC">
      <w:pPr>
        <w:numPr>
          <w:ilvl w:val="0"/>
          <w:numId w:val="2"/>
        </w:numPr>
        <w:autoSpaceDE w:val="0"/>
        <w:autoSpaceDN w:val="0"/>
        <w:adjustRightInd w:val="0"/>
        <w:spacing w:after="160" w:line="259" w:lineRule="auto"/>
        <w:ind w:left="709"/>
        <w:rPr>
          <w:rFonts w:ascii="Tahoma" w:hAnsi="Tahoma" w:cs="Tahoma"/>
          <w:color w:val="000000"/>
        </w:rPr>
      </w:pPr>
      <w:r w:rsidRPr="000E49DC">
        <w:rPr>
          <w:rFonts w:ascii="Tahoma" w:hAnsi="Tahoma" w:cs="Tahoma"/>
          <w:color w:val="000000"/>
        </w:rPr>
        <w:lastRenderedPageBreak/>
        <w:t xml:space="preserve"> W sytuacji gdy wspomniany wskaźnik (tj. wzrost cen) osiągnie wysokość ponad 5,75%, Strony uprawnione są do żądania zmiany wynagrodzenia do 3 % wartości wynagrodzenia wskazanego w § 4. </w:t>
      </w:r>
    </w:p>
    <w:p w14:paraId="7CC885A5" w14:textId="77777777" w:rsidR="000E49DC" w:rsidRPr="000E49DC" w:rsidRDefault="000E49DC" w:rsidP="000E49DC">
      <w:pPr>
        <w:numPr>
          <w:ilvl w:val="0"/>
          <w:numId w:val="2"/>
        </w:numPr>
        <w:autoSpaceDE w:val="0"/>
        <w:autoSpaceDN w:val="0"/>
        <w:adjustRightInd w:val="0"/>
        <w:spacing w:after="160" w:line="259" w:lineRule="auto"/>
        <w:ind w:left="709"/>
        <w:rPr>
          <w:rFonts w:ascii="Tahoma" w:hAnsi="Tahoma" w:cs="Tahoma"/>
          <w:color w:val="000000"/>
        </w:rPr>
      </w:pPr>
      <w:r w:rsidRPr="000E49DC">
        <w:rPr>
          <w:rFonts w:ascii="Tahoma" w:hAnsi="Tahoma" w:cs="Tahoma"/>
          <w:color w:val="000000"/>
        </w:rPr>
        <w:t>Termin waloryzacji wynagrodzenia ustala się na dzień złożonego i zaakceptowanego wniosku przez Strony o waloryzację wynagrodzenia umownego.</w:t>
      </w:r>
    </w:p>
    <w:p w14:paraId="33BBFA83" w14:textId="77777777" w:rsidR="000E49DC" w:rsidRPr="000E49DC" w:rsidRDefault="000E49DC" w:rsidP="000E49DC">
      <w:pPr>
        <w:numPr>
          <w:ilvl w:val="0"/>
          <w:numId w:val="2"/>
        </w:numPr>
        <w:autoSpaceDE w:val="0"/>
        <w:autoSpaceDN w:val="0"/>
        <w:adjustRightInd w:val="0"/>
        <w:spacing w:after="160" w:line="259" w:lineRule="auto"/>
        <w:ind w:left="709"/>
        <w:rPr>
          <w:rFonts w:ascii="Tahoma" w:hAnsi="Tahoma" w:cs="Tahoma"/>
          <w:color w:val="000000"/>
        </w:rPr>
      </w:pPr>
      <w:r w:rsidRPr="000E49DC">
        <w:rPr>
          <w:rFonts w:ascii="Tahoma" w:hAnsi="Tahoma" w:cs="Tahoma"/>
          <w:color w:val="000000"/>
        </w:rPr>
        <w:t>Waloryzacja wynagrodzenia dopuszczona jest jeden raz w roku kalendarzowym. Pierwsza waloryzacja może nastąpić po upływie 6 miesięcy od dnia podpisania umowy, przy spełnieniu wszystkich wymogów opisanych w niniejszej umowie.</w:t>
      </w:r>
    </w:p>
    <w:p w14:paraId="4D8638E6" w14:textId="77777777" w:rsidR="000E49DC" w:rsidRPr="000E49DC" w:rsidRDefault="000E49DC" w:rsidP="000E49DC">
      <w:pPr>
        <w:numPr>
          <w:ilvl w:val="0"/>
          <w:numId w:val="2"/>
        </w:numPr>
        <w:autoSpaceDE w:val="0"/>
        <w:autoSpaceDN w:val="0"/>
        <w:adjustRightInd w:val="0"/>
        <w:spacing w:after="160" w:line="259" w:lineRule="auto"/>
        <w:ind w:left="709"/>
        <w:rPr>
          <w:rFonts w:ascii="Tahoma" w:hAnsi="Tahoma" w:cs="Tahoma"/>
          <w:color w:val="000000"/>
        </w:rPr>
      </w:pPr>
      <w:r w:rsidRPr="000E49DC">
        <w:rPr>
          <w:rFonts w:ascii="Tahoma" w:hAnsi="Tahoma" w:cs="Tahoma"/>
          <w:color w:val="000000"/>
        </w:rPr>
        <w:t xml:space="preserve"> Waloryzacja wynagrodzenia może nastąpić pod warunkiem, że zmiana cen związanych z realizacją zamówienia ma rzeczywisty wpływ na koszt wykonania niniejszej umowy. </w:t>
      </w:r>
    </w:p>
    <w:p w14:paraId="3141AA12" w14:textId="77777777" w:rsidR="000E49DC" w:rsidRPr="000E49DC" w:rsidRDefault="000E49DC" w:rsidP="000E49DC">
      <w:pPr>
        <w:numPr>
          <w:ilvl w:val="0"/>
          <w:numId w:val="2"/>
        </w:numPr>
        <w:autoSpaceDE w:val="0"/>
        <w:autoSpaceDN w:val="0"/>
        <w:adjustRightInd w:val="0"/>
        <w:spacing w:after="160" w:line="259" w:lineRule="auto"/>
        <w:ind w:left="709"/>
        <w:rPr>
          <w:rFonts w:ascii="Tahoma" w:hAnsi="Tahoma" w:cs="Tahoma"/>
          <w:color w:val="000000"/>
        </w:rPr>
      </w:pPr>
      <w:r w:rsidRPr="000E49DC">
        <w:rPr>
          <w:rFonts w:ascii="Tahoma" w:hAnsi="Tahoma" w:cs="Tahoma"/>
          <w:color w:val="000000"/>
        </w:rPr>
        <w:t>Wykazanie wpływu zmiany ceny materiałów lub kosztów, o których mowa w ust. 6 niniejszego paragrafu na koszt wykonania zamówienia należy do Strony wnioskującej, pod rygorem odmowy dokonania zmiany umowy.</w:t>
      </w:r>
    </w:p>
    <w:p w14:paraId="3F263833" w14:textId="77777777" w:rsidR="000E49DC" w:rsidRPr="000E49DC" w:rsidRDefault="000E49DC" w:rsidP="000E49DC">
      <w:pPr>
        <w:numPr>
          <w:ilvl w:val="0"/>
          <w:numId w:val="2"/>
        </w:numPr>
        <w:autoSpaceDE w:val="0"/>
        <w:autoSpaceDN w:val="0"/>
        <w:adjustRightInd w:val="0"/>
        <w:spacing w:after="160" w:line="259" w:lineRule="auto"/>
        <w:ind w:left="709"/>
        <w:rPr>
          <w:rFonts w:ascii="Tahoma" w:hAnsi="Tahoma" w:cs="Tahoma"/>
          <w:color w:val="000000"/>
        </w:rPr>
      </w:pPr>
      <w:r w:rsidRPr="000E49DC">
        <w:rPr>
          <w:rFonts w:ascii="Tahoma" w:hAnsi="Tahoma" w:cs="Tahoma"/>
          <w:color w:val="000000"/>
        </w:rPr>
        <w:t xml:space="preserve"> W sytuacji wystąpienia okoliczności uprawniających do zmiany wynagrodzenia, Wykonawca jest uprawniony do złożenia pisemnego wniosku o zmianę umowy w zakresie płatności dotyczących okresu, za który waloryzacja ma nastąpić. Wniosek powinien zawierać wyczerpujące uzasadnienie faktyczne i wskazanie odpowiedniego wskaźnika GUS, będącego podstawa takiego żądania wraz z potwierdzeniem, że nastąpiła jego zmiana uzasadniająca żądanie. Ponadto wraz z wnioskiem należy podać dokładne wyliczenie kwoty wynagrodzenia po zmianie umowy, w szczególności należy wykazać związek pomiędzy wnioskowaną kwotą zmiany wynagrodzenia a wpływem zmiany kosztów realizacji umowy na kalkulację wynagrodzenia. Ponadto w przypadku żądania podwyższenia wynagrodzenia należy również przedstawić dowody ich poniesienia w zwiększonej wysokości.”</w:t>
      </w:r>
    </w:p>
    <w:p w14:paraId="3846D731" w14:textId="77777777" w:rsidR="000E49DC" w:rsidRPr="000E49DC" w:rsidRDefault="000E49DC" w:rsidP="000E49DC">
      <w:pPr>
        <w:autoSpaceDE w:val="0"/>
        <w:autoSpaceDN w:val="0"/>
        <w:adjustRightInd w:val="0"/>
        <w:rPr>
          <w:rFonts w:ascii="Tahoma" w:hAnsi="Tahoma" w:cs="Tahoma"/>
          <w:color w:val="000000"/>
        </w:rPr>
      </w:pPr>
    </w:p>
    <w:p w14:paraId="10BA4467" w14:textId="77777777" w:rsidR="000E49DC" w:rsidRPr="000E49DC" w:rsidRDefault="000E49DC" w:rsidP="000E49DC">
      <w:pPr>
        <w:autoSpaceDE w:val="0"/>
        <w:autoSpaceDN w:val="0"/>
        <w:adjustRightInd w:val="0"/>
        <w:rPr>
          <w:rFonts w:ascii="Tahoma" w:hAnsi="Tahoma" w:cs="Tahoma"/>
          <w:color w:val="000000"/>
        </w:rPr>
      </w:pPr>
    </w:p>
    <w:p w14:paraId="54DECF7A" w14:textId="77777777" w:rsidR="000E49DC" w:rsidRPr="000E49DC" w:rsidRDefault="000E49DC" w:rsidP="000E49DC">
      <w:pPr>
        <w:autoSpaceDE w:val="0"/>
        <w:autoSpaceDN w:val="0"/>
        <w:adjustRightInd w:val="0"/>
        <w:rPr>
          <w:rFonts w:ascii="Tahoma" w:hAnsi="Tahoma" w:cs="Tahoma"/>
          <w:color w:val="000000"/>
        </w:rPr>
      </w:pPr>
    </w:p>
    <w:p w14:paraId="02CA4DAC" w14:textId="77777777" w:rsidR="000E49DC" w:rsidRPr="000E49DC" w:rsidRDefault="000E49DC" w:rsidP="000E49DC">
      <w:pPr>
        <w:autoSpaceDE w:val="0"/>
        <w:autoSpaceDN w:val="0"/>
        <w:adjustRightInd w:val="0"/>
        <w:rPr>
          <w:rFonts w:ascii="Tahoma" w:hAnsi="Tahoma" w:cs="Tahoma"/>
          <w:color w:val="000000"/>
        </w:rPr>
      </w:pPr>
      <w:r w:rsidRPr="000E49DC">
        <w:rPr>
          <w:rFonts w:ascii="Tahoma" w:hAnsi="Tahoma" w:cs="Tahoma"/>
          <w:color w:val="000000"/>
        </w:rPr>
        <w:t>W załączniku  nr 5c do SWZ w sprawie o nr DzPS.271.1.3.2024 uzupełnia się o treść paragrafu § 3¹ w brzmieniu:</w:t>
      </w:r>
    </w:p>
    <w:p w14:paraId="26126480" w14:textId="77777777" w:rsidR="000E49DC" w:rsidRPr="000E49DC" w:rsidRDefault="000E49DC" w:rsidP="000E49DC">
      <w:pPr>
        <w:autoSpaceDE w:val="0"/>
        <w:autoSpaceDN w:val="0"/>
        <w:adjustRightInd w:val="0"/>
        <w:spacing w:line="276" w:lineRule="auto"/>
        <w:ind w:left="426" w:hanging="360"/>
        <w:rPr>
          <w:rFonts w:ascii="Tahoma" w:hAnsi="Tahoma" w:cs="Tahoma"/>
          <w:color w:val="000000"/>
        </w:rPr>
      </w:pPr>
    </w:p>
    <w:p w14:paraId="2AA65201" w14:textId="77777777" w:rsidR="000E49DC" w:rsidRPr="000E49DC" w:rsidRDefault="000E49DC" w:rsidP="000E49DC">
      <w:pPr>
        <w:autoSpaceDE w:val="0"/>
        <w:autoSpaceDN w:val="0"/>
        <w:adjustRightInd w:val="0"/>
        <w:rPr>
          <w:rFonts w:ascii="Tahoma" w:hAnsi="Tahoma" w:cs="Tahoma"/>
          <w:color w:val="000000"/>
        </w:rPr>
      </w:pPr>
      <w:r w:rsidRPr="000E49DC">
        <w:rPr>
          <w:rFonts w:ascii="Tahoma" w:hAnsi="Tahoma" w:cs="Tahoma"/>
          <w:color w:val="000000"/>
        </w:rPr>
        <w:t>„§ 3¹</w:t>
      </w:r>
    </w:p>
    <w:p w14:paraId="49A4B021" w14:textId="77777777" w:rsidR="000E49DC" w:rsidRPr="000E49DC" w:rsidRDefault="000E49DC" w:rsidP="000E49DC">
      <w:pPr>
        <w:numPr>
          <w:ilvl w:val="0"/>
          <w:numId w:val="3"/>
        </w:numPr>
        <w:autoSpaceDE w:val="0"/>
        <w:autoSpaceDN w:val="0"/>
        <w:adjustRightInd w:val="0"/>
        <w:spacing w:after="160" w:line="259" w:lineRule="auto"/>
        <w:ind w:left="709"/>
        <w:rPr>
          <w:rFonts w:ascii="Tahoma" w:hAnsi="Tahoma" w:cs="Tahoma"/>
          <w:color w:val="000000"/>
        </w:rPr>
      </w:pPr>
      <w:r w:rsidRPr="000E49DC">
        <w:rPr>
          <w:rFonts w:ascii="Tahoma" w:hAnsi="Tahoma" w:cs="Tahoma"/>
          <w:color w:val="000000"/>
        </w:rPr>
        <w:t>Na zasadzie art. 439 ust. 1 ustawy Prawo zamówień publicznych, w przypadku zmiany ceny materiałów lub kosztów związanych z realizacją zamówienia, Strony dopuszczają zmianę wynagrodzenia umownego Wykonawcy wskazanego w § 3 jeśli zmiana ta miała wpływ na realizację usług objętych przedmiotem umowy (dalej także jako: „waloryzacja wynagrodzenia”).</w:t>
      </w:r>
    </w:p>
    <w:p w14:paraId="4E05AB91" w14:textId="77777777" w:rsidR="000E49DC" w:rsidRPr="000E49DC" w:rsidRDefault="000E49DC" w:rsidP="000E49DC">
      <w:pPr>
        <w:numPr>
          <w:ilvl w:val="0"/>
          <w:numId w:val="3"/>
        </w:numPr>
        <w:autoSpaceDE w:val="0"/>
        <w:autoSpaceDN w:val="0"/>
        <w:adjustRightInd w:val="0"/>
        <w:spacing w:after="160" w:line="259" w:lineRule="auto"/>
        <w:ind w:left="709"/>
        <w:rPr>
          <w:rFonts w:ascii="Tahoma" w:hAnsi="Tahoma" w:cs="Tahoma"/>
          <w:color w:val="000000"/>
        </w:rPr>
      </w:pPr>
      <w:r w:rsidRPr="000E49DC">
        <w:rPr>
          <w:rFonts w:ascii="Tahoma" w:hAnsi="Tahoma" w:cs="Tahoma"/>
          <w:color w:val="000000"/>
        </w:rPr>
        <w:lastRenderedPageBreak/>
        <w:t xml:space="preserve"> Waloryzacja wynagrodzenia będzie odbywać się na podstawie odesłania do prognozowanego średniorocznego wskaźnika cen towarów i usług konsumpcyjnych ogółem, na podstawie komunikatu Prezesa GUS w stosunku do roku ubiegłego.</w:t>
      </w:r>
    </w:p>
    <w:p w14:paraId="4A93C1C0" w14:textId="77777777" w:rsidR="000E49DC" w:rsidRPr="000E49DC" w:rsidRDefault="000E49DC" w:rsidP="000E49DC">
      <w:pPr>
        <w:numPr>
          <w:ilvl w:val="0"/>
          <w:numId w:val="3"/>
        </w:numPr>
        <w:autoSpaceDE w:val="0"/>
        <w:autoSpaceDN w:val="0"/>
        <w:adjustRightInd w:val="0"/>
        <w:spacing w:after="160" w:line="259" w:lineRule="auto"/>
        <w:ind w:left="709"/>
        <w:rPr>
          <w:rFonts w:ascii="Tahoma" w:hAnsi="Tahoma" w:cs="Tahoma"/>
          <w:color w:val="000000"/>
        </w:rPr>
      </w:pPr>
      <w:r w:rsidRPr="000E49DC">
        <w:rPr>
          <w:rFonts w:ascii="Tahoma" w:hAnsi="Tahoma" w:cs="Tahoma"/>
          <w:color w:val="000000"/>
        </w:rPr>
        <w:t xml:space="preserve"> W sytuacji gdy wspomniany wskaźnik (tj. wzrost cen) osiągnie wysokość ponad 5,75%, Strony uprawnione są do żądania zmiany wynagrodzenia do 3 % wartości wynagrodzenia wskazanego w § 3. </w:t>
      </w:r>
    </w:p>
    <w:p w14:paraId="217CC80E" w14:textId="77777777" w:rsidR="000E49DC" w:rsidRPr="000E49DC" w:rsidRDefault="000E49DC" w:rsidP="000E49DC">
      <w:pPr>
        <w:numPr>
          <w:ilvl w:val="0"/>
          <w:numId w:val="3"/>
        </w:numPr>
        <w:autoSpaceDE w:val="0"/>
        <w:autoSpaceDN w:val="0"/>
        <w:adjustRightInd w:val="0"/>
        <w:spacing w:after="160" w:line="259" w:lineRule="auto"/>
        <w:ind w:left="709"/>
        <w:rPr>
          <w:rFonts w:ascii="Tahoma" w:hAnsi="Tahoma" w:cs="Tahoma"/>
          <w:color w:val="000000"/>
        </w:rPr>
      </w:pPr>
      <w:r w:rsidRPr="000E49DC">
        <w:rPr>
          <w:rFonts w:ascii="Tahoma" w:hAnsi="Tahoma" w:cs="Tahoma"/>
          <w:color w:val="000000"/>
        </w:rPr>
        <w:t>Termin waloryzacji wynagrodzenia ustala się na dzień złożonego i zaakceptowanego wniosku przez Strony o waloryzację wynagrodzenia umownego.</w:t>
      </w:r>
    </w:p>
    <w:p w14:paraId="4B138ABD" w14:textId="77777777" w:rsidR="000E49DC" w:rsidRPr="000E49DC" w:rsidRDefault="000E49DC" w:rsidP="000E49DC">
      <w:pPr>
        <w:numPr>
          <w:ilvl w:val="0"/>
          <w:numId w:val="3"/>
        </w:numPr>
        <w:autoSpaceDE w:val="0"/>
        <w:autoSpaceDN w:val="0"/>
        <w:adjustRightInd w:val="0"/>
        <w:spacing w:after="160" w:line="259" w:lineRule="auto"/>
        <w:ind w:left="709"/>
        <w:rPr>
          <w:rFonts w:ascii="Tahoma" w:hAnsi="Tahoma" w:cs="Tahoma"/>
          <w:color w:val="000000"/>
        </w:rPr>
      </w:pPr>
      <w:r w:rsidRPr="000E49DC">
        <w:rPr>
          <w:rFonts w:ascii="Tahoma" w:hAnsi="Tahoma" w:cs="Tahoma"/>
          <w:color w:val="000000"/>
        </w:rPr>
        <w:t>Waloryzacja wynagrodzenia dopuszczona jest jeden raz w roku kalendarzowym. Pierwsza waloryzacja może nastąpić po upływie 6 miesięcy od dnia podpisania umowy, przy spełnieniu wszystkich wymogów opisanych w niniejszej umowie.</w:t>
      </w:r>
    </w:p>
    <w:p w14:paraId="47BE63B4" w14:textId="77777777" w:rsidR="000E49DC" w:rsidRPr="000E49DC" w:rsidRDefault="000E49DC" w:rsidP="000E49DC">
      <w:pPr>
        <w:numPr>
          <w:ilvl w:val="0"/>
          <w:numId w:val="3"/>
        </w:numPr>
        <w:autoSpaceDE w:val="0"/>
        <w:autoSpaceDN w:val="0"/>
        <w:adjustRightInd w:val="0"/>
        <w:spacing w:after="160" w:line="259" w:lineRule="auto"/>
        <w:ind w:left="709"/>
        <w:rPr>
          <w:rFonts w:ascii="Tahoma" w:hAnsi="Tahoma" w:cs="Tahoma"/>
          <w:color w:val="000000"/>
        </w:rPr>
      </w:pPr>
      <w:r w:rsidRPr="000E49DC">
        <w:rPr>
          <w:rFonts w:ascii="Tahoma" w:hAnsi="Tahoma" w:cs="Tahoma"/>
          <w:color w:val="000000"/>
        </w:rPr>
        <w:t xml:space="preserve"> Waloryzacja wynagrodzenia może nastąpić pod warunkiem, że zmiana cen związanych z realizacją zamówienia ma rzeczywisty wpływ na koszt wykonania niniejszej umowy. </w:t>
      </w:r>
    </w:p>
    <w:p w14:paraId="6E03D192" w14:textId="77777777" w:rsidR="000E49DC" w:rsidRPr="000E49DC" w:rsidRDefault="000E49DC" w:rsidP="000E49DC">
      <w:pPr>
        <w:numPr>
          <w:ilvl w:val="0"/>
          <w:numId w:val="3"/>
        </w:numPr>
        <w:autoSpaceDE w:val="0"/>
        <w:autoSpaceDN w:val="0"/>
        <w:adjustRightInd w:val="0"/>
        <w:spacing w:after="160" w:line="259" w:lineRule="auto"/>
        <w:ind w:left="709"/>
        <w:rPr>
          <w:rFonts w:ascii="Tahoma" w:hAnsi="Tahoma" w:cs="Tahoma"/>
          <w:color w:val="000000"/>
        </w:rPr>
      </w:pPr>
      <w:r w:rsidRPr="000E49DC">
        <w:rPr>
          <w:rFonts w:ascii="Tahoma" w:hAnsi="Tahoma" w:cs="Tahoma"/>
          <w:color w:val="000000"/>
        </w:rPr>
        <w:t>Wykazanie wpływu zmiany ceny materiałów lub kosztów, o których mowa w ust. 6 niniejszego paragrafu na koszt wykonania zamówienia należy do Strony wnioskującej, pod rygorem odmowy dokonania zmiany umowy.</w:t>
      </w:r>
    </w:p>
    <w:p w14:paraId="238BBE6F" w14:textId="77777777" w:rsidR="000E49DC" w:rsidRPr="000E49DC" w:rsidRDefault="000E49DC" w:rsidP="000E49DC">
      <w:pPr>
        <w:numPr>
          <w:ilvl w:val="0"/>
          <w:numId w:val="3"/>
        </w:numPr>
        <w:autoSpaceDE w:val="0"/>
        <w:autoSpaceDN w:val="0"/>
        <w:adjustRightInd w:val="0"/>
        <w:spacing w:after="160" w:line="259" w:lineRule="auto"/>
        <w:ind w:left="709"/>
        <w:rPr>
          <w:rFonts w:ascii="Tahoma" w:hAnsi="Tahoma" w:cs="Tahoma"/>
          <w:color w:val="000000"/>
        </w:rPr>
      </w:pPr>
      <w:r w:rsidRPr="000E49DC">
        <w:rPr>
          <w:rFonts w:ascii="Tahoma" w:hAnsi="Tahoma" w:cs="Tahoma"/>
          <w:color w:val="000000"/>
        </w:rPr>
        <w:t xml:space="preserve"> W sytuacji wystąpienia okoliczności uprawniających do zmiany wynagrodzenia, Wykonawca jest uprawniony do złożenia pisemnego wniosku o zmianę umowy w zakresie płatności dotyczących okresu, za który waloryzacja ma nastąpić. Wniosek powinien zawierać wyczerpujące uzasadnienie faktyczne i wskazanie odpowiedniego wskaźnika GUS, będącego podstawa takiego żądania wraz z potwierdzeniem, że nastąpiła jego zmiana uzasadniająca żądanie. Ponadto wraz z wnioskiem należy podać dokładne wyliczenie kwoty wynagrodzenia po zmianie umowy, w szczególności należy wykazać związek pomiędzy wnioskowaną kwotą zmiany wynagrodzenia a wpływem zmiany kosztów realizacji umowy na kalkulację wynagrodzenia. Ponadto w przypadku żądania podwyższenia wynagrodzenia należy również przedstawić dowody ich poniesienia w zwiększonej wysokości.”</w:t>
      </w:r>
    </w:p>
    <w:p w14:paraId="5E3C031D" w14:textId="145742E3" w:rsidR="000E49DC" w:rsidRDefault="003402EB" w:rsidP="005F3C66">
      <w:pPr>
        <w:tabs>
          <w:tab w:val="center" w:pos="4536"/>
          <w:tab w:val="left" w:pos="6945"/>
        </w:tabs>
        <w:spacing w:after="60" w:line="276" w:lineRule="auto"/>
        <w:rPr>
          <w:rFonts w:ascii="Tahoma" w:hAnsi="Tahoma" w:cs="Tahoma"/>
        </w:rPr>
      </w:pPr>
      <w:r>
        <w:rPr>
          <w:rFonts w:ascii="Tahoma" w:hAnsi="Tahoma" w:cs="Tahoma"/>
        </w:rPr>
        <w:t>Zamawiający nie zmienia terminu składania ofert, a</w:t>
      </w:r>
      <w:r w:rsidRPr="003402EB">
        <w:rPr>
          <w:rFonts w:ascii="Tahoma" w:hAnsi="Tahoma" w:cs="Tahoma"/>
        </w:rPr>
        <w:t xml:space="preserve">ktualnie termin </w:t>
      </w:r>
      <w:r>
        <w:rPr>
          <w:rFonts w:ascii="Tahoma" w:hAnsi="Tahoma" w:cs="Tahoma"/>
        </w:rPr>
        <w:t>składania</w:t>
      </w:r>
      <w:r w:rsidRPr="003402EB">
        <w:rPr>
          <w:rFonts w:ascii="Tahoma" w:hAnsi="Tahoma" w:cs="Tahoma"/>
        </w:rPr>
        <w:t xml:space="preserve"> ofert upływa 5 listopada  2024r</w:t>
      </w:r>
      <w:r>
        <w:rPr>
          <w:rFonts w:ascii="Tahoma" w:hAnsi="Tahoma" w:cs="Tahoma"/>
        </w:rPr>
        <w:t xml:space="preserve"> o godz. 10.00</w:t>
      </w:r>
    </w:p>
    <w:p w14:paraId="4E0E12EA" w14:textId="77777777" w:rsidR="007F5D16" w:rsidRDefault="007F5D16" w:rsidP="005F3C66">
      <w:pPr>
        <w:tabs>
          <w:tab w:val="center" w:pos="4536"/>
          <w:tab w:val="left" w:pos="6945"/>
        </w:tabs>
        <w:spacing w:after="60" w:line="276" w:lineRule="auto"/>
        <w:rPr>
          <w:rFonts w:ascii="Tahoma" w:hAnsi="Tahoma" w:cs="Tahoma"/>
        </w:rPr>
      </w:pPr>
    </w:p>
    <w:p w14:paraId="348A64C7" w14:textId="4755FC3A" w:rsidR="007F5D16" w:rsidRDefault="007F5D16" w:rsidP="005F3C66">
      <w:pPr>
        <w:tabs>
          <w:tab w:val="center" w:pos="4536"/>
          <w:tab w:val="left" w:pos="6945"/>
        </w:tabs>
        <w:spacing w:after="60" w:line="276" w:lineRule="auto"/>
        <w:rPr>
          <w:rFonts w:ascii="Tahoma" w:hAnsi="Tahoma" w:cs="Tahoma"/>
        </w:rPr>
      </w:pPr>
      <w:r>
        <w:rPr>
          <w:rFonts w:ascii="Tahoma" w:hAnsi="Tahoma" w:cs="Tahoma"/>
        </w:rPr>
        <w:t xml:space="preserve">                                                                 /-/ Andrzej Czekaj</w:t>
      </w:r>
    </w:p>
    <w:p w14:paraId="24D4686A" w14:textId="0573C60C" w:rsidR="007F5D16" w:rsidRDefault="007F5D16" w:rsidP="005F3C66">
      <w:pPr>
        <w:tabs>
          <w:tab w:val="center" w:pos="4536"/>
          <w:tab w:val="left" w:pos="6945"/>
        </w:tabs>
        <w:spacing w:after="60" w:line="276" w:lineRule="auto"/>
        <w:rPr>
          <w:rFonts w:ascii="Tahoma" w:hAnsi="Tahoma" w:cs="Tahoma"/>
        </w:rPr>
      </w:pPr>
      <w:r>
        <w:rPr>
          <w:rFonts w:ascii="Tahoma" w:hAnsi="Tahoma" w:cs="Tahoma"/>
        </w:rPr>
        <w:t xml:space="preserve">                                                                        Dyrektor</w:t>
      </w:r>
    </w:p>
    <w:p w14:paraId="0E992061" w14:textId="2DCC7203" w:rsidR="007F5D16" w:rsidRPr="003402EB" w:rsidRDefault="007F5D16" w:rsidP="005F3C66">
      <w:pPr>
        <w:tabs>
          <w:tab w:val="center" w:pos="4536"/>
          <w:tab w:val="left" w:pos="6945"/>
        </w:tabs>
        <w:spacing w:after="60" w:line="276" w:lineRule="auto"/>
        <w:rPr>
          <w:rFonts w:ascii="Tahoma" w:hAnsi="Tahoma" w:cs="Tahoma"/>
        </w:rPr>
      </w:pPr>
      <w:r>
        <w:rPr>
          <w:rFonts w:ascii="Tahoma" w:hAnsi="Tahoma" w:cs="Tahoma"/>
        </w:rPr>
        <w:t xml:space="preserve">                                                       Miejskiego Ośrodka Pomocy Społecznej</w:t>
      </w:r>
    </w:p>
    <w:sectPr w:rsidR="007F5D16" w:rsidRPr="003402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9F3312E"/>
    <w:multiLevelType w:val="hybridMultilevel"/>
    <w:tmpl w:val="E3D6316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3D6C17D6"/>
    <w:multiLevelType w:val="hybridMultilevel"/>
    <w:tmpl w:val="41C6B842"/>
    <w:lvl w:ilvl="0" w:tplc="FFFFFFFF">
      <w:start w:val="1"/>
      <w:numFmt w:val="decimal"/>
      <w:lvlText w:val="%1."/>
      <w:lvlJc w:val="left"/>
      <w:pPr>
        <w:ind w:left="25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4064EED"/>
    <w:multiLevelType w:val="hybridMultilevel"/>
    <w:tmpl w:val="41C6B842"/>
    <w:lvl w:ilvl="0" w:tplc="0415000F">
      <w:start w:val="1"/>
      <w:numFmt w:val="decimal"/>
      <w:lvlText w:val="%1."/>
      <w:lvlJc w:val="left"/>
      <w:pPr>
        <w:ind w:left="25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1461866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384449562">
    <w:abstractNumId w:val="2"/>
  </w:num>
  <w:num w:numId="3" w16cid:durableId="66251655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3C66"/>
    <w:rsid w:val="000E49DC"/>
    <w:rsid w:val="001A31C3"/>
    <w:rsid w:val="003402EB"/>
    <w:rsid w:val="005F3C66"/>
    <w:rsid w:val="007D7A0F"/>
    <w:rsid w:val="007F5D16"/>
    <w:rsid w:val="009618F3"/>
    <w:rsid w:val="00987508"/>
    <w:rsid w:val="009B466A"/>
    <w:rsid w:val="00FE35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0240B7"/>
  <w15:chartTrackingRefBased/>
  <w15:docId w15:val="{ECF81AD8-C140-45E1-A754-43EB0BE807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="Times New Roman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F3C66"/>
    <w:pPr>
      <w:spacing w:after="0" w:line="240" w:lineRule="auto"/>
    </w:pPr>
    <w:rPr>
      <w:rFonts w:ascii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1A31C3"/>
    <w:pPr>
      <w:keepNext/>
      <w:keepLines/>
      <w:spacing w:before="240" w:after="480" w:line="360" w:lineRule="auto"/>
      <w:outlineLvl w:val="0"/>
    </w:pPr>
    <w:rPr>
      <w:rFonts w:ascii="Calibri Light" w:eastAsiaTheme="majorEastAsia" w:hAnsi="Calibri Light" w:cs="Calibri Light"/>
      <w:b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A31C3"/>
    <w:rPr>
      <w:rFonts w:ascii="Calibri Light" w:eastAsiaTheme="majorEastAsia" w:hAnsi="Calibri Light" w:cs="Calibri Light"/>
      <w:b/>
      <w:kern w:val="0"/>
      <w:sz w:val="28"/>
      <w:szCs w:val="28"/>
      <w:lang w:eastAsia="pl-PL"/>
      <w14:ligatures w14:val="none"/>
    </w:rPr>
  </w:style>
  <w:style w:type="paragraph" w:customStyle="1" w:styleId="Default">
    <w:name w:val="Default"/>
    <w:rsid w:val="005F3C66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kern w:val="0"/>
      <w:sz w:val="24"/>
      <w:szCs w:val="24"/>
      <w14:ligatures w14:val="none"/>
    </w:rPr>
  </w:style>
  <w:style w:type="character" w:styleId="Uwydatnienie">
    <w:name w:val="Emphasis"/>
    <w:basedOn w:val="Domylnaczcionkaakapitu"/>
    <w:qFormat/>
    <w:rsid w:val="005F3C66"/>
    <w:rPr>
      <w:i/>
      <w:iCs/>
    </w:rPr>
  </w:style>
  <w:style w:type="character" w:styleId="Pogrubienie">
    <w:name w:val="Strong"/>
    <w:basedOn w:val="Domylnaczcionkaakapitu"/>
    <w:uiPriority w:val="22"/>
    <w:qFormat/>
    <w:rsid w:val="005F3C66"/>
    <w:rPr>
      <w:b/>
      <w:bCs/>
    </w:rPr>
  </w:style>
  <w:style w:type="character" w:styleId="Hipercze">
    <w:name w:val="Hyperlink"/>
    <w:basedOn w:val="Domylnaczcionkaakapitu"/>
    <w:uiPriority w:val="99"/>
    <w:unhideWhenUsed/>
    <w:rsid w:val="005F3C6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4</Pages>
  <Words>1246</Words>
  <Characters>7480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Stanisław Drążkiewicz</dc:creator>
  <cp:keywords>DzPS.271.1.3.2024-SWS waloryzacja wynagrodzenia</cp:keywords>
  <dc:description/>
  <cp:lastModifiedBy>Sebastian Rutkowski</cp:lastModifiedBy>
  <cp:revision>4</cp:revision>
  <cp:lastPrinted>2024-10-30T12:21:00Z</cp:lastPrinted>
  <dcterms:created xsi:type="dcterms:W3CDTF">2024-10-30T12:05:00Z</dcterms:created>
  <dcterms:modified xsi:type="dcterms:W3CDTF">2024-10-30T12:55:00Z</dcterms:modified>
</cp:coreProperties>
</file>